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20D2" w14:textId="1F17CA21" w:rsidR="000064A4" w:rsidRDefault="000064A4" w:rsidP="00063DFD">
      <w:pPr>
        <w:spacing w:after="0"/>
      </w:pPr>
    </w:p>
    <w:tbl>
      <w:tblPr>
        <w:tblStyle w:val="TableGrid"/>
        <w:tblW w:w="0" w:type="auto"/>
        <w:tblLook w:val="04A0" w:firstRow="1" w:lastRow="0" w:firstColumn="1" w:lastColumn="0" w:noHBand="0" w:noVBand="1"/>
      </w:tblPr>
      <w:tblGrid>
        <w:gridCol w:w="1271"/>
        <w:gridCol w:w="6064"/>
      </w:tblGrid>
      <w:tr w:rsidR="00063DFD" w:rsidRPr="003550C8" w14:paraId="38F2FC03" w14:textId="77777777" w:rsidTr="00063DFD">
        <w:tc>
          <w:tcPr>
            <w:tcW w:w="1271" w:type="dxa"/>
            <w:shd w:val="clear" w:color="auto" w:fill="D9E2F3" w:themeFill="accent1" w:themeFillTint="33"/>
          </w:tcPr>
          <w:p w14:paraId="430EFF98" w14:textId="1009ADA5" w:rsidR="00063DFD" w:rsidRPr="003550C8" w:rsidRDefault="00063DFD" w:rsidP="00063DFD">
            <w:pPr>
              <w:rPr>
                <w:rFonts w:ascii="Tahoma" w:hAnsi="Tahoma" w:cs="Tahoma"/>
                <w:sz w:val="20"/>
                <w:szCs w:val="20"/>
              </w:rPr>
            </w:pPr>
            <w:r w:rsidRPr="003550C8">
              <w:rPr>
                <w:rFonts w:ascii="Tahoma" w:hAnsi="Tahoma" w:cs="Tahoma"/>
                <w:sz w:val="20"/>
                <w:szCs w:val="20"/>
              </w:rPr>
              <w:t>Reason:</w:t>
            </w:r>
          </w:p>
        </w:tc>
        <w:tc>
          <w:tcPr>
            <w:tcW w:w="6064" w:type="dxa"/>
          </w:tcPr>
          <w:p w14:paraId="317036CC" w14:textId="253102F3" w:rsidR="00063DFD" w:rsidRPr="003550C8" w:rsidRDefault="002526FD" w:rsidP="00063DFD">
            <w:pPr>
              <w:jc w:val="both"/>
              <w:rPr>
                <w:rFonts w:ascii="Tahoma" w:hAnsi="Tahoma" w:cs="Tahoma"/>
                <w:sz w:val="20"/>
                <w:szCs w:val="20"/>
              </w:rPr>
            </w:pPr>
            <w:r>
              <w:rPr>
                <w:rFonts w:ascii="Tahoma" w:hAnsi="Tahoma" w:cs="Tahoma"/>
                <w:sz w:val="20"/>
                <w:szCs w:val="20"/>
              </w:rPr>
              <w:t>Operatives should be aware of the hazards associated w</w:t>
            </w:r>
            <w:r w:rsidR="00B05CD9">
              <w:rPr>
                <w:rFonts w:ascii="Tahoma" w:hAnsi="Tahoma" w:cs="Tahoma"/>
                <w:sz w:val="20"/>
                <w:szCs w:val="20"/>
              </w:rPr>
              <w:t>hen welding in particular fume control, general ventilation LEV &amp; PPE.</w:t>
            </w:r>
          </w:p>
        </w:tc>
      </w:tr>
      <w:tr w:rsidR="00063DFD" w:rsidRPr="003550C8" w14:paraId="0488FFA3" w14:textId="77777777" w:rsidTr="00063DFD">
        <w:tc>
          <w:tcPr>
            <w:tcW w:w="1271" w:type="dxa"/>
            <w:shd w:val="clear" w:color="auto" w:fill="D9E2F3" w:themeFill="accent1" w:themeFillTint="33"/>
          </w:tcPr>
          <w:p w14:paraId="5CBAD901" w14:textId="2B05661B" w:rsidR="00063DFD" w:rsidRPr="003550C8" w:rsidRDefault="00063DFD" w:rsidP="00063DFD">
            <w:pPr>
              <w:rPr>
                <w:rFonts w:ascii="Tahoma" w:hAnsi="Tahoma" w:cs="Tahoma"/>
                <w:sz w:val="20"/>
                <w:szCs w:val="20"/>
              </w:rPr>
            </w:pPr>
            <w:r w:rsidRPr="003550C8">
              <w:rPr>
                <w:rFonts w:ascii="Tahoma" w:hAnsi="Tahoma" w:cs="Tahoma"/>
                <w:sz w:val="20"/>
                <w:szCs w:val="20"/>
              </w:rPr>
              <w:t>Outline:</w:t>
            </w:r>
          </w:p>
        </w:tc>
        <w:tc>
          <w:tcPr>
            <w:tcW w:w="6064" w:type="dxa"/>
          </w:tcPr>
          <w:p w14:paraId="0723D402" w14:textId="028C8354" w:rsidR="00063DFD" w:rsidRPr="003550C8" w:rsidRDefault="00063DFD" w:rsidP="00063DFD">
            <w:pPr>
              <w:jc w:val="both"/>
              <w:rPr>
                <w:rFonts w:ascii="Tahoma" w:hAnsi="Tahoma" w:cs="Tahoma"/>
                <w:sz w:val="20"/>
                <w:szCs w:val="20"/>
              </w:rPr>
            </w:pPr>
            <w:r w:rsidRPr="003550C8">
              <w:rPr>
                <w:rFonts w:ascii="Tahoma" w:hAnsi="Tahoma" w:cs="Tahoma"/>
                <w:sz w:val="20"/>
                <w:szCs w:val="20"/>
              </w:rPr>
              <w:t xml:space="preserve">This talk covers </w:t>
            </w:r>
            <w:r w:rsidR="007B46A0">
              <w:rPr>
                <w:rFonts w:ascii="Tahoma" w:hAnsi="Tahoma" w:cs="Tahoma"/>
                <w:sz w:val="20"/>
                <w:szCs w:val="20"/>
              </w:rPr>
              <w:t>the hazards</w:t>
            </w:r>
            <w:r w:rsidR="002526FD">
              <w:rPr>
                <w:rFonts w:ascii="Tahoma" w:hAnsi="Tahoma" w:cs="Tahoma"/>
                <w:sz w:val="20"/>
                <w:szCs w:val="20"/>
              </w:rPr>
              <w:t xml:space="preserve"> associated w</w:t>
            </w:r>
            <w:r w:rsidR="00B05CD9">
              <w:rPr>
                <w:rFonts w:ascii="Tahoma" w:hAnsi="Tahoma" w:cs="Tahoma"/>
                <w:sz w:val="20"/>
                <w:szCs w:val="20"/>
              </w:rPr>
              <w:t>hen welding and any toxic fumes produced during the process.</w:t>
            </w:r>
          </w:p>
        </w:tc>
      </w:tr>
    </w:tbl>
    <w:p w14:paraId="1CC9D7FE" w14:textId="0EA70661" w:rsidR="00091E6B" w:rsidRPr="002526FD" w:rsidRDefault="00091E6B" w:rsidP="002526FD">
      <w:pPr>
        <w:spacing w:after="0"/>
        <w:jc w:val="both"/>
        <w:rPr>
          <w:rFonts w:ascii="Tahoma" w:hAnsi="Tahoma" w:cs="Tahoma"/>
          <w:sz w:val="20"/>
          <w:szCs w:val="20"/>
        </w:rPr>
      </w:pPr>
    </w:p>
    <w:tbl>
      <w:tblPr>
        <w:tblStyle w:val="TableGrid"/>
        <w:tblW w:w="0" w:type="auto"/>
        <w:tblLook w:val="04A0" w:firstRow="1" w:lastRow="0" w:firstColumn="1" w:lastColumn="0" w:noHBand="0" w:noVBand="1"/>
      </w:tblPr>
      <w:tblGrid>
        <w:gridCol w:w="7335"/>
      </w:tblGrid>
      <w:tr w:rsidR="002526FD" w:rsidRPr="002526FD" w14:paraId="354B9DC2" w14:textId="77777777" w:rsidTr="002526FD">
        <w:tc>
          <w:tcPr>
            <w:tcW w:w="7335" w:type="dxa"/>
            <w:tcBorders>
              <w:top w:val="nil"/>
              <w:left w:val="nil"/>
              <w:bottom w:val="nil"/>
              <w:right w:val="nil"/>
            </w:tcBorders>
            <w:shd w:val="clear" w:color="auto" w:fill="D9E2F3" w:themeFill="accent1" w:themeFillTint="33"/>
          </w:tcPr>
          <w:p w14:paraId="166ED770" w14:textId="4E58A818" w:rsidR="002526FD" w:rsidRPr="002526FD" w:rsidRDefault="002526FD" w:rsidP="002526FD">
            <w:pPr>
              <w:jc w:val="both"/>
              <w:rPr>
                <w:rFonts w:ascii="Tahoma" w:hAnsi="Tahoma" w:cs="Tahoma"/>
                <w:sz w:val="20"/>
                <w:szCs w:val="20"/>
              </w:rPr>
            </w:pPr>
            <w:r w:rsidRPr="002526FD">
              <w:rPr>
                <w:rFonts w:ascii="Tahoma" w:hAnsi="Tahoma" w:cs="Tahoma"/>
                <w:sz w:val="20"/>
                <w:szCs w:val="20"/>
              </w:rPr>
              <w:t>Hazards:</w:t>
            </w:r>
          </w:p>
        </w:tc>
      </w:tr>
    </w:tbl>
    <w:p w14:paraId="32E2687D" w14:textId="77777777" w:rsidR="00F31A6F" w:rsidRDefault="00601FA8" w:rsidP="002526FD">
      <w:pPr>
        <w:spacing w:after="0"/>
        <w:jc w:val="both"/>
        <w:rPr>
          <w:rFonts w:ascii="Tahoma" w:hAnsi="Tahoma" w:cs="Tahoma"/>
          <w:sz w:val="20"/>
          <w:szCs w:val="20"/>
        </w:rPr>
      </w:pPr>
      <w:r>
        <w:rPr>
          <w:rFonts w:ascii="Tahoma" w:hAnsi="Tahoma" w:cs="Tahoma"/>
          <w:sz w:val="20"/>
          <w:szCs w:val="20"/>
        </w:rPr>
        <w:t xml:space="preserve">1. </w:t>
      </w:r>
      <w:r w:rsidR="00F31A6F">
        <w:rPr>
          <w:rFonts w:ascii="Tahoma" w:hAnsi="Tahoma" w:cs="Tahoma"/>
          <w:sz w:val="20"/>
          <w:szCs w:val="20"/>
        </w:rPr>
        <w:t xml:space="preserve">Confined space welding – lack of oxygen. Inert gases &amp; chemical reactions can reduce the amount of oxygen inside enclosed spaces such as tanks, pipes &amp; pits. </w:t>
      </w:r>
    </w:p>
    <w:p w14:paraId="49B12434" w14:textId="77777777" w:rsidR="00F31A6F" w:rsidRDefault="00F31A6F" w:rsidP="002526FD">
      <w:pPr>
        <w:spacing w:after="0"/>
        <w:jc w:val="both"/>
        <w:rPr>
          <w:rFonts w:ascii="Tahoma" w:hAnsi="Tahoma" w:cs="Tahoma"/>
          <w:sz w:val="20"/>
          <w:szCs w:val="20"/>
        </w:rPr>
      </w:pPr>
      <w:r>
        <w:rPr>
          <w:rFonts w:ascii="Tahoma" w:hAnsi="Tahoma" w:cs="Tahoma"/>
          <w:sz w:val="20"/>
          <w:szCs w:val="20"/>
        </w:rPr>
        <w:t xml:space="preserve">2. preventing fire and explosion. A clean workspace free from obstruction and particularly flammable materials and substances. Fire watches to be employed for a minimum of 1 hour following any hot works. </w:t>
      </w:r>
    </w:p>
    <w:p w14:paraId="4D8C1658" w14:textId="1C5B2B19" w:rsidR="00F31A6F" w:rsidRDefault="00F31A6F" w:rsidP="002526FD">
      <w:pPr>
        <w:spacing w:after="0"/>
        <w:jc w:val="both"/>
        <w:rPr>
          <w:rFonts w:ascii="Tahoma" w:hAnsi="Tahoma" w:cs="Tahoma"/>
          <w:sz w:val="20"/>
          <w:szCs w:val="20"/>
        </w:rPr>
      </w:pPr>
      <w:r>
        <w:rPr>
          <w:rFonts w:ascii="Tahoma" w:hAnsi="Tahoma" w:cs="Tahoma"/>
          <w:sz w:val="20"/>
          <w:szCs w:val="20"/>
        </w:rPr>
        <w:t>3. Electrical hazards – The arc welding process requires a live electrical circuit and are therefore at risk of electric shock &amp; electrical burns. PPE, regular equipment inspections and cleans are essential to reduce risks.</w:t>
      </w:r>
    </w:p>
    <w:p w14:paraId="71B801A3" w14:textId="10E6F6F3" w:rsidR="002526FD" w:rsidRDefault="00F31A6F" w:rsidP="002526FD">
      <w:pPr>
        <w:spacing w:after="0"/>
        <w:jc w:val="both"/>
        <w:rPr>
          <w:rFonts w:ascii="Tahoma" w:hAnsi="Tahoma" w:cs="Tahoma"/>
          <w:sz w:val="20"/>
          <w:szCs w:val="20"/>
        </w:rPr>
      </w:pPr>
      <w:r>
        <w:rPr>
          <w:rFonts w:ascii="Tahoma" w:hAnsi="Tahoma" w:cs="Tahoma"/>
          <w:sz w:val="20"/>
          <w:szCs w:val="20"/>
        </w:rPr>
        <w:t xml:space="preserve">4. </w:t>
      </w:r>
      <w:r w:rsidR="00B05CD9">
        <w:rPr>
          <w:rFonts w:ascii="Tahoma" w:hAnsi="Tahoma" w:cs="Tahoma"/>
          <w:sz w:val="20"/>
          <w:szCs w:val="20"/>
        </w:rPr>
        <w:t>Welding fume (which includes irritating gases such as oxides of nitrogen and ozone) may cause respiratory irritation and metal fume fever. It can also increase susceptibility to pneumonia. Long term serious lung diseases, occupational asthma, cancer &amp; COPD. May also cause adverse neurological effects resultant from exposure to manganese, ubiquitous in mild steels, some stainless steels and welding consumables.</w:t>
      </w:r>
    </w:p>
    <w:p w14:paraId="46368DD5" w14:textId="6F487E99" w:rsidR="00B05CD9" w:rsidRDefault="00601FA8" w:rsidP="002526FD">
      <w:pPr>
        <w:spacing w:after="0"/>
        <w:jc w:val="both"/>
        <w:rPr>
          <w:rFonts w:ascii="Tahoma" w:hAnsi="Tahoma" w:cs="Tahoma"/>
          <w:sz w:val="20"/>
          <w:szCs w:val="20"/>
        </w:rPr>
      </w:pPr>
      <w:r>
        <w:rPr>
          <w:rFonts w:ascii="Tahoma" w:hAnsi="Tahoma" w:cs="Tahoma"/>
          <w:sz w:val="20"/>
          <w:szCs w:val="20"/>
        </w:rPr>
        <w:t xml:space="preserve">2. </w:t>
      </w:r>
      <w:r w:rsidR="00B05CD9">
        <w:rPr>
          <w:rFonts w:ascii="Tahoma" w:hAnsi="Tahoma" w:cs="Tahoma"/>
          <w:sz w:val="20"/>
          <w:szCs w:val="20"/>
        </w:rPr>
        <w:t xml:space="preserve">Shielding gases (such as argon, helium and nitrogen, or argon-based mixtures containing carbon dioxide, </w:t>
      </w:r>
      <w:r w:rsidR="00C4236D">
        <w:rPr>
          <w:rFonts w:ascii="Tahoma" w:hAnsi="Tahoma" w:cs="Tahoma"/>
          <w:sz w:val="20"/>
          <w:szCs w:val="20"/>
        </w:rPr>
        <w:t>oxygen,</w:t>
      </w:r>
      <w:r w:rsidR="00B05CD9">
        <w:rPr>
          <w:rFonts w:ascii="Tahoma" w:hAnsi="Tahoma" w:cs="Tahoma"/>
          <w:sz w:val="20"/>
          <w:szCs w:val="20"/>
        </w:rPr>
        <w:t xml:space="preserve"> or both) can cause asphyxiation</w:t>
      </w:r>
      <w:r>
        <w:rPr>
          <w:rFonts w:ascii="Tahoma" w:hAnsi="Tahoma" w:cs="Tahoma"/>
          <w:sz w:val="20"/>
          <w:szCs w:val="20"/>
        </w:rPr>
        <w:t xml:space="preserve"> 9suffocation from lack of oxygen), usually resulting from accumulation of the gases in confined spaces and/or displacement of the oxygen.</w:t>
      </w:r>
    </w:p>
    <w:p w14:paraId="5B44F3E0" w14:textId="5D495A51" w:rsidR="00601FA8" w:rsidRDefault="00601FA8" w:rsidP="002526FD">
      <w:pPr>
        <w:spacing w:after="0"/>
        <w:jc w:val="both"/>
        <w:rPr>
          <w:rFonts w:ascii="Tahoma" w:hAnsi="Tahoma" w:cs="Tahoma"/>
          <w:sz w:val="20"/>
          <w:szCs w:val="20"/>
        </w:rPr>
      </w:pPr>
      <w:r>
        <w:rPr>
          <w:noProof/>
        </w:rPr>
        <w:drawing>
          <wp:inline distT="0" distB="0" distL="0" distR="0" wp14:anchorId="419F7F35" wp14:editId="52DA3327">
            <wp:extent cx="2143125" cy="1217598"/>
            <wp:effectExtent l="0" t="0" r="0" b="1905"/>
            <wp:docPr id="1" name="Picture 1" descr="Welding ABC - Complete guide to welding types and definitions - Kem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ding ABC - Complete guide to welding types and definitions - Kemp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2746" cy="1223064"/>
                    </a:xfrm>
                    <a:prstGeom prst="rect">
                      <a:avLst/>
                    </a:prstGeom>
                    <a:noFill/>
                    <a:ln>
                      <a:noFill/>
                    </a:ln>
                  </pic:spPr>
                </pic:pic>
              </a:graphicData>
            </a:graphic>
          </wp:inline>
        </w:drawing>
      </w:r>
      <w:r>
        <w:fldChar w:fldCharType="begin"/>
      </w:r>
      <w:r>
        <w:instrText xml:space="preserve"> INCLUDEPICTURE "https://grainger-prod.adobecqms.net/content/grainger/know-how/us/en/industry/metalworking/kh-ws-welding-safety-109-qt/_jcr_content/root/responsivegrid/responsivegrid/articleheader/articleHeaderImage.img.jpg/1610484495300.jpg" \* MERGEFORMATINET </w:instrText>
      </w:r>
      <w:r w:rsidR="00496872">
        <w:fldChar w:fldCharType="separate"/>
      </w:r>
      <w:r>
        <w:fldChar w:fldCharType="end"/>
      </w:r>
      <w:r>
        <w:fldChar w:fldCharType="begin"/>
      </w:r>
      <w:r>
        <w:instrText xml:space="preserve"> INCLUDEPICTURE "https://grainger-prod.adobecqms.net/content/grainger/know-how/us/en/industry/metalworking/kh-ws-welding-safety-109-qt/_jcr_content/root/responsivegrid/responsivegrid/articleheader/articleHeaderImage.img.jpg/1610484495300.jpg" \* MERGEFORMATINET </w:instrText>
      </w:r>
      <w:r w:rsidR="00496872">
        <w:fldChar w:fldCharType="separate"/>
      </w:r>
      <w:r>
        <w:fldChar w:fldCharType="end"/>
      </w:r>
      <w:r>
        <w:t xml:space="preserve"> </w:t>
      </w:r>
    </w:p>
    <w:p w14:paraId="3D3DEF91" w14:textId="15B94EC8" w:rsidR="00601FA8" w:rsidRDefault="00601FA8" w:rsidP="002526FD">
      <w:pPr>
        <w:spacing w:after="0"/>
        <w:jc w:val="both"/>
        <w:rPr>
          <w:rFonts w:ascii="Tahoma" w:hAnsi="Tahoma" w:cs="Tahoma"/>
          <w:sz w:val="20"/>
          <w:szCs w:val="20"/>
        </w:rPr>
      </w:pPr>
    </w:p>
    <w:tbl>
      <w:tblPr>
        <w:tblStyle w:val="TableGrid"/>
        <w:tblW w:w="0" w:type="auto"/>
        <w:tblLook w:val="04A0" w:firstRow="1" w:lastRow="0" w:firstColumn="1" w:lastColumn="0" w:noHBand="0" w:noVBand="1"/>
      </w:tblPr>
      <w:tblGrid>
        <w:gridCol w:w="7335"/>
      </w:tblGrid>
      <w:tr w:rsidR="00392D93" w14:paraId="7C866415" w14:textId="77777777" w:rsidTr="00392D93">
        <w:tc>
          <w:tcPr>
            <w:tcW w:w="7335" w:type="dxa"/>
            <w:tcBorders>
              <w:top w:val="nil"/>
              <w:left w:val="nil"/>
              <w:bottom w:val="nil"/>
              <w:right w:val="nil"/>
            </w:tcBorders>
            <w:shd w:val="clear" w:color="auto" w:fill="D9E2F3" w:themeFill="accent1" w:themeFillTint="33"/>
          </w:tcPr>
          <w:p w14:paraId="55356592" w14:textId="7B4BFF37" w:rsidR="00392D93" w:rsidRDefault="00392D93" w:rsidP="002526FD">
            <w:pPr>
              <w:jc w:val="both"/>
              <w:rPr>
                <w:rFonts w:ascii="Tahoma" w:hAnsi="Tahoma" w:cs="Tahoma"/>
                <w:sz w:val="20"/>
                <w:szCs w:val="20"/>
              </w:rPr>
            </w:pPr>
            <w:r>
              <w:rPr>
                <w:rFonts w:ascii="Tahoma" w:hAnsi="Tahoma" w:cs="Tahoma"/>
                <w:sz w:val="20"/>
                <w:szCs w:val="20"/>
              </w:rPr>
              <w:t>Health Risks:</w:t>
            </w:r>
          </w:p>
        </w:tc>
      </w:tr>
    </w:tbl>
    <w:p w14:paraId="01100369" w14:textId="68665341" w:rsidR="00392D93" w:rsidRDefault="00392D93" w:rsidP="002526FD">
      <w:pPr>
        <w:spacing w:after="0"/>
        <w:jc w:val="both"/>
        <w:rPr>
          <w:rFonts w:ascii="Tahoma" w:hAnsi="Tahoma" w:cs="Tahoma"/>
          <w:sz w:val="20"/>
          <w:szCs w:val="20"/>
        </w:rPr>
      </w:pPr>
      <w:r w:rsidRPr="00C4236D">
        <w:rPr>
          <w:rFonts w:ascii="Tahoma" w:hAnsi="Tahoma" w:cs="Tahoma"/>
          <w:b/>
          <w:bCs/>
          <w:color w:val="4472C4" w:themeColor="accent1"/>
          <w:sz w:val="20"/>
          <w:szCs w:val="20"/>
        </w:rPr>
        <w:t xml:space="preserve">Acute </w:t>
      </w:r>
      <w:r w:rsidR="00C4236D" w:rsidRPr="00C4236D">
        <w:rPr>
          <w:rFonts w:ascii="Tahoma" w:hAnsi="Tahoma" w:cs="Tahoma"/>
          <w:b/>
          <w:bCs/>
          <w:color w:val="4472C4" w:themeColor="accent1"/>
          <w:sz w:val="20"/>
          <w:szCs w:val="20"/>
        </w:rPr>
        <w:t>R</w:t>
      </w:r>
      <w:r w:rsidRPr="00C4236D">
        <w:rPr>
          <w:rFonts w:ascii="Tahoma" w:hAnsi="Tahoma" w:cs="Tahoma"/>
          <w:b/>
          <w:bCs/>
          <w:color w:val="4472C4" w:themeColor="accent1"/>
          <w:sz w:val="20"/>
          <w:szCs w:val="20"/>
        </w:rPr>
        <w:t>espiratory</w:t>
      </w:r>
      <w:r w:rsidRPr="00C4236D">
        <w:rPr>
          <w:rFonts w:ascii="Tahoma" w:hAnsi="Tahoma" w:cs="Tahoma"/>
          <w:color w:val="4472C4" w:themeColor="accent1"/>
          <w:sz w:val="20"/>
          <w:szCs w:val="20"/>
        </w:rPr>
        <w:t xml:space="preserve"> </w:t>
      </w:r>
      <w:r>
        <w:rPr>
          <w:rFonts w:ascii="Tahoma" w:hAnsi="Tahoma" w:cs="Tahoma"/>
          <w:sz w:val="20"/>
          <w:szCs w:val="20"/>
        </w:rPr>
        <w:t>health effects</w:t>
      </w:r>
      <w:r w:rsidR="00C4236D">
        <w:rPr>
          <w:rFonts w:ascii="Tahoma" w:hAnsi="Tahoma" w:cs="Tahoma"/>
          <w:sz w:val="20"/>
          <w:szCs w:val="20"/>
        </w:rPr>
        <w:t xml:space="preserve"> occur quite soon after exposure to welding fume. Irritation to the throat and larger airways in the lungs. Acute irritant-induced asthma. Metal fume fever. Acute pneumonia.</w:t>
      </w:r>
    </w:p>
    <w:p w14:paraId="7941949C" w14:textId="77777777" w:rsidR="00656840" w:rsidRDefault="00656840" w:rsidP="002526FD">
      <w:pPr>
        <w:spacing w:after="0"/>
        <w:jc w:val="both"/>
        <w:rPr>
          <w:rFonts w:ascii="Tahoma" w:hAnsi="Tahoma" w:cs="Tahoma"/>
          <w:b/>
          <w:bCs/>
          <w:color w:val="4472C4" w:themeColor="accent1"/>
          <w:sz w:val="20"/>
          <w:szCs w:val="20"/>
        </w:rPr>
      </w:pPr>
    </w:p>
    <w:p w14:paraId="25FE3B17" w14:textId="1FDCEB74" w:rsidR="00C4236D" w:rsidRDefault="00C4236D" w:rsidP="002526FD">
      <w:pPr>
        <w:spacing w:after="0"/>
        <w:jc w:val="both"/>
        <w:rPr>
          <w:rFonts w:ascii="Tahoma" w:hAnsi="Tahoma" w:cs="Tahoma"/>
          <w:sz w:val="20"/>
          <w:szCs w:val="20"/>
        </w:rPr>
      </w:pPr>
      <w:r w:rsidRPr="00C4236D">
        <w:rPr>
          <w:rFonts w:ascii="Tahoma" w:hAnsi="Tahoma" w:cs="Tahoma"/>
          <w:b/>
          <w:bCs/>
          <w:color w:val="4472C4" w:themeColor="accent1"/>
          <w:sz w:val="20"/>
          <w:szCs w:val="20"/>
        </w:rPr>
        <w:t>Chronic Respiratory</w:t>
      </w:r>
      <w:r w:rsidRPr="00C4236D">
        <w:rPr>
          <w:rFonts w:ascii="Tahoma" w:hAnsi="Tahoma" w:cs="Tahoma"/>
          <w:color w:val="4472C4" w:themeColor="accent1"/>
          <w:sz w:val="20"/>
          <w:szCs w:val="20"/>
        </w:rPr>
        <w:t xml:space="preserve"> </w:t>
      </w:r>
      <w:r>
        <w:rPr>
          <w:rFonts w:ascii="Tahoma" w:hAnsi="Tahoma" w:cs="Tahoma"/>
          <w:sz w:val="20"/>
          <w:szCs w:val="20"/>
        </w:rPr>
        <w:t>Health effects develop more gradually after exposure and result in more serious diseases. Lung cancer. Chronic obstructive pulmonary disease (COPD). Welders’ lung. Occupational Asthma.</w:t>
      </w:r>
    </w:p>
    <w:p w14:paraId="3891543F" w14:textId="7E643A8E" w:rsidR="00C4236D" w:rsidRDefault="00C4236D" w:rsidP="002526FD">
      <w:pPr>
        <w:spacing w:after="0"/>
        <w:jc w:val="both"/>
        <w:rPr>
          <w:rFonts w:ascii="Tahoma" w:hAnsi="Tahoma" w:cs="Tahoma"/>
          <w:sz w:val="20"/>
          <w:szCs w:val="20"/>
        </w:rPr>
      </w:pPr>
      <w:r w:rsidRPr="00C4236D">
        <w:rPr>
          <w:rFonts w:ascii="Tahoma" w:hAnsi="Tahoma" w:cs="Tahoma"/>
          <w:b/>
          <w:bCs/>
          <w:color w:val="4472C4" w:themeColor="accent1"/>
          <w:sz w:val="20"/>
          <w:szCs w:val="20"/>
        </w:rPr>
        <w:t>Asphyxiation</w:t>
      </w:r>
      <w:r>
        <w:rPr>
          <w:rFonts w:ascii="Tahoma" w:hAnsi="Tahoma" w:cs="Tahoma"/>
          <w:sz w:val="20"/>
          <w:szCs w:val="20"/>
        </w:rPr>
        <w:t xml:space="preserve"> when welding in a confined space.</w:t>
      </w:r>
    </w:p>
    <w:p w14:paraId="66274ED9" w14:textId="305C6F1C" w:rsidR="00C4236D" w:rsidRDefault="00C4236D" w:rsidP="002526FD">
      <w:pPr>
        <w:spacing w:after="0"/>
        <w:jc w:val="both"/>
        <w:rPr>
          <w:rFonts w:ascii="Tahoma" w:hAnsi="Tahoma" w:cs="Tahoma"/>
          <w:sz w:val="20"/>
          <w:szCs w:val="20"/>
        </w:rPr>
      </w:pPr>
      <w:r>
        <w:rPr>
          <w:rFonts w:ascii="Tahoma" w:hAnsi="Tahoma" w:cs="Tahoma"/>
          <w:sz w:val="20"/>
          <w:szCs w:val="20"/>
        </w:rPr>
        <w:t>Other effects are; Skin effects, Neurological effects, Ocular melanoma, Arc-eye, Noise and Vibration.</w:t>
      </w:r>
    </w:p>
    <w:p w14:paraId="5D505B42" w14:textId="77777777" w:rsidR="00392D93" w:rsidRDefault="00392D93" w:rsidP="002526FD">
      <w:pPr>
        <w:spacing w:after="0"/>
        <w:jc w:val="both"/>
        <w:rPr>
          <w:rFonts w:ascii="Tahoma" w:hAnsi="Tahoma" w:cs="Tahoma"/>
          <w:sz w:val="20"/>
          <w:szCs w:val="20"/>
        </w:rPr>
      </w:pPr>
    </w:p>
    <w:tbl>
      <w:tblPr>
        <w:tblStyle w:val="TableGrid"/>
        <w:tblW w:w="0" w:type="auto"/>
        <w:tblLook w:val="04A0" w:firstRow="1" w:lastRow="0" w:firstColumn="1" w:lastColumn="0" w:noHBand="0" w:noVBand="1"/>
      </w:tblPr>
      <w:tblGrid>
        <w:gridCol w:w="7335"/>
      </w:tblGrid>
      <w:tr w:rsidR="00B822CE" w14:paraId="43A9FF7C" w14:textId="77777777" w:rsidTr="00B822CE">
        <w:tc>
          <w:tcPr>
            <w:tcW w:w="7335" w:type="dxa"/>
            <w:tcBorders>
              <w:top w:val="nil"/>
              <w:left w:val="nil"/>
              <w:bottom w:val="nil"/>
              <w:right w:val="nil"/>
            </w:tcBorders>
            <w:shd w:val="clear" w:color="auto" w:fill="D9E2F3" w:themeFill="accent1" w:themeFillTint="33"/>
          </w:tcPr>
          <w:p w14:paraId="5EB793B2" w14:textId="01F7BF42" w:rsidR="00B822CE" w:rsidRDefault="00B822CE" w:rsidP="002526FD">
            <w:pPr>
              <w:jc w:val="both"/>
              <w:rPr>
                <w:rFonts w:ascii="Tahoma" w:hAnsi="Tahoma" w:cs="Tahoma"/>
                <w:sz w:val="20"/>
                <w:szCs w:val="20"/>
              </w:rPr>
            </w:pPr>
            <w:r>
              <w:rPr>
                <w:rFonts w:ascii="Tahoma" w:hAnsi="Tahoma" w:cs="Tahoma"/>
                <w:sz w:val="20"/>
                <w:szCs w:val="20"/>
              </w:rPr>
              <w:t>Precautions:</w:t>
            </w:r>
          </w:p>
        </w:tc>
      </w:tr>
    </w:tbl>
    <w:p w14:paraId="04506A05" w14:textId="5AA69FCB" w:rsidR="00601FA8" w:rsidRPr="00601FA8" w:rsidRDefault="00935561" w:rsidP="00601FA8">
      <w:pPr>
        <w:spacing w:after="0"/>
        <w:jc w:val="both"/>
        <w:rPr>
          <w:rFonts w:ascii="Tahoma" w:hAnsi="Tahoma" w:cs="Tahoma"/>
          <w:sz w:val="20"/>
          <w:szCs w:val="20"/>
        </w:rPr>
      </w:pPr>
      <w:r>
        <w:rPr>
          <w:rFonts w:ascii="Tahoma" w:hAnsi="Tahoma" w:cs="Tahoma"/>
          <w:sz w:val="20"/>
          <w:szCs w:val="20"/>
        </w:rPr>
        <w:sym w:font="Wingdings 2" w:char="F075"/>
      </w:r>
      <w:r w:rsidR="00601FA8" w:rsidRPr="00601FA8">
        <w:rPr>
          <w:rFonts w:ascii="Tahoma" w:hAnsi="Tahoma" w:cs="Tahoma"/>
          <w:sz w:val="20"/>
          <w:szCs w:val="20"/>
        </w:rPr>
        <w:t xml:space="preserve">Design the job so less welding is required – cold joining techniques, mechanical </w:t>
      </w:r>
      <w:r w:rsidR="00C4236D" w:rsidRPr="00601FA8">
        <w:rPr>
          <w:rFonts w:ascii="Tahoma" w:hAnsi="Tahoma" w:cs="Tahoma"/>
          <w:sz w:val="20"/>
          <w:szCs w:val="20"/>
        </w:rPr>
        <w:t>fasteners,</w:t>
      </w:r>
      <w:r w:rsidR="00601FA8" w:rsidRPr="00601FA8">
        <w:rPr>
          <w:rFonts w:ascii="Tahoma" w:hAnsi="Tahoma" w:cs="Tahoma"/>
          <w:sz w:val="20"/>
          <w:szCs w:val="20"/>
        </w:rPr>
        <w:t xml:space="preserve"> or adhesives.</w:t>
      </w:r>
    </w:p>
    <w:p w14:paraId="636160FD" w14:textId="1794F858" w:rsidR="00601FA8" w:rsidRDefault="00935561" w:rsidP="00601FA8">
      <w:pPr>
        <w:spacing w:after="0"/>
        <w:jc w:val="both"/>
        <w:rPr>
          <w:rFonts w:ascii="Tahoma" w:hAnsi="Tahoma" w:cs="Tahoma"/>
          <w:sz w:val="20"/>
          <w:szCs w:val="20"/>
        </w:rPr>
      </w:pPr>
      <w:r>
        <w:rPr>
          <w:rFonts w:ascii="Tahoma" w:hAnsi="Tahoma" w:cs="Tahoma"/>
          <w:sz w:val="20"/>
          <w:szCs w:val="20"/>
        </w:rPr>
        <w:sym w:font="Wingdings 2" w:char="F076"/>
      </w:r>
      <w:r w:rsidR="00601FA8">
        <w:rPr>
          <w:rFonts w:ascii="Tahoma" w:hAnsi="Tahoma" w:cs="Tahoma"/>
          <w:sz w:val="20"/>
          <w:szCs w:val="20"/>
        </w:rPr>
        <w:t>Remove grease and all surface coatings first, paint and resin coatings may release toxic components when heated.</w:t>
      </w:r>
    </w:p>
    <w:p w14:paraId="45E50ABF" w14:textId="36E01F45" w:rsidR="00601FA8" w:rsidRDefault="00935561" w:rsidP="00601FA8">
      <w:pPr>
        <w:spacing w:after="0"/>
        <w:jc w:val="both"/>
        <w:rPr>
          <w:rFonts w:ascii="Tahoma" w:hAnsi="Tahoma" w:cs="Tahoma"/>
          <w:sz w:val="20"/>
          <w:szCs w:val="20"/>
        </w:rPr>
      </w:pPr>
      <w:r>
        <w:rPr>
          <w:rFonts w:ascii="Tahoma" w:hAnsi="Tahoma" w:cs="Tahoma"/>
          <w:sz w:val="20"/>
          <w:szCs w:val="20"/>
        </w:rPr>
        <w:sym w:font="Wingdings 2" w:char="F077"/>
      </w:r>
      <w:r w:rsidR="00601FA8">
        <w:rPr>
          <w:rFonts w:ascii="Tahoma" w:hAnsi="Tahoma" w:cs="Tahoma"/>
          <w:sz w:val="20"/>
          <w:szCs w:val="20"/>
        </w:rPr>
        <w:t>Position the workplace and LEV (local exhaust ventilation) hood to reduce the worker being exposed to rising fumes.</w:t>
      </w:r>
    </w:p>
    <w:p w14:paraId="5048EF86" w14:textId="77A63F72" w:rsidR="00601FA8" w:rsidRPr="00601FA8" w:rsidRDefault="00935561" w:rsidP="00601FA8">
      <w:pPr>
        <w:spacing w:after="0"/>
        <w:jc w:val="both"/>
        <w:rPr>
          <w:rFonts w:ascii="Tahoma" w:hAnsi="Tahoma" w:cs="Tahoma"/>
          <w:sz w:val="20"/>
          <w:szCs w:val="20"/>
        </w:rPr>
      </w:pPr>
      <w:r>
        <w:rPr>
          <w:rFonts w:ascii="Tahoma" w:hAnsi="Tahoma" w:cs="Tahoma"/>
          <w:sz w:val="20"/>
          <w:szCs w:val="20"/>
        </w:rPr>
        <w:sym w:font="Wingdings 2" w:char="F078"/>
      </w:r>
      <w:r w:rsidR="00601FA8">
        <w:rPr>
          <w:rFonts w:ascii="Tahoma" w:hAnsi="Tahoma" w:cs="Tahoma"/>
          <w:sz w:val="20"/>
          <w:szCs w:val="20"/>
        </w:rPr>
        <w:t>When welding outside, LEV is usually not practical, use RPE as a suitable alternative.</w:t>
      </w:r>
    </w:p>
    <w:tbl>
      <w:tblPr>
        <w:tblStyle w:val="TableGrid"/>
        <w:tblW w:w="0" w:type="auto"/>
        <w:tblLook w:val="04A0" w:firstRow="1" w:lastRow="0" w:firstColumn="1" w:lastColumn="0" w:noHBand="0" w:noVBand="1"/>
      </w:tblPr>
      <w:tblGrid>
        <w:gridCol w:w="7335"/>
      </w:tblGrid>
      <w:tr w:rsidR="00935561" w:rsidRPr="00935561" w14:paraId="450F01B1" w14:textId="77777777" w:rsidTr="00935561">
        <w:tc>
          <w:tcPr>
            <w:tcW w:w="7335" w:type="dxa"/>
            <w:tcBorders>
              <w:top w:val="nil"/>
              <w:left w:val="nil"/>
              <w:bottom w:val="nil"/>
              <w:right w:val="nil"/>
            </w:tcBorders>
            <w:shd w:val="clear" w:color="auto" w:fill="D9E2F3" w:themeFill="accent1" w:themeFillTint="33"/>
          </w:tcPr>
          <w:p w14:paraId="015C17F0" w14:textId="20670ACF" w:rsidR="00935561" w:rsidRPr="00935561" w:rsidRDefault="00935561" w:rsidP="00A61D39">
            <w:pPr>
              <w:jc w:val="both"/>
              <w:rPr>
                <w:rFonts w:ascii="Tahoma" w:hAnsi="Tahoma" w:cs="Tahoma"/>
                <w:sz w:val="20"/>
                <w:szCs w:val="20"/>
              </w:rPr>
            </w:pPr>
            <w:r w:rsidRPr="00935561">
              <w:rPr>
                <w:rFonts w:ascii="Tahoma" w:hAnsi="Tahoma" w:cs="Tahoma"/>
                <w:sz w:val="20"/>
                <w:szCs w:val="20"/>
              </w:rPr>
              <w:t>Local Exhaust Ventilation</w:t>
            </w:r>
            <w:r>
              <w:rPr>
                <w:rFonts w:ascii="Tahoma" w:hAnsi="Tahoma" w:cs="Tahoma"/>
                <w:sz w:val="20"/>
                <w:szCs w:val="20"/>
              </w:rPr>
              <w:t>:</w:t>
            </w:r>
          </w:p>
        </w:tc>
      </w:tr>
    </w:tbl>
    <w:p w14:paraId="2E4D2F65" w14:textId="77777777" w:rsidR="00935561" w:rsidRDefault="00935561" w:rsidP="00A61D39">
      <w:pPr>
        <w:spacing w:after="0"/>
        <w:jc w:val="both"/>
        <w:rPr>
          <w:rFonts w:ascii="Tahoma" w:hAnsi="Tahoma" w:cs="Tahoma"/>
          <w:sz w:val="20"/>
          <w:szCs w:val="20"/>
        </w:rPr>
      </w:pPr>
      <w:r w:rsidRPr="00935561">
        <w:rPr>
          <w:rFonts w:ascii="Tahoma" w:hAnsi="Tahoma" w:cs="Tahoma"/>
          <w:sz w:val="20"/>
          <w:szCs w:val="20"/>
        </w:rPr>
        <w:t>Ensure the most appropriate extraction design is chosen for the welding purpose.</w:t>
      </w:r>
      <w:r>
        <w:rPr>
          <w:rFonts w:ascii="Tahoma" w:hAnsi="Tahoma" w:cs="Tahoma"/>
          <w:sz w:val="20"/>
          <w:szCs w:val="20"/>
        </w:rPr>
        <w:t xml:space="preserve"> </w:t>
      </w:r>
    </w:p>
    <w:p w14:paraId="0E8D262E" w14:textId="5637E057" w:rsidR="00601FA8" w:rsidRDefault="00935561" w:rsidP="00A61D39">
      <w:pPr>
        <w:spacing w:after="0"/>
        <w:jc w:val="both"/>
        <w:rPr>
          <w:rFonts w:ascii="Tahoma" w:hAnsi="Tahoma" w:cs="Tahoma"/>
          <w:sz w:val="20"/>
          <w:szCs w:val="20"/>
        </w:rPr>
      </w:pPr>
      <w:r>
        <w:rPr>
          <w:rFonts w:ascii="Tahoma" w:hAnsi="Tahoma" w:cs="Tahoma"/>
          <w:sz w:val="20"/>
          <w:szCs w:val="20"/>
        </w:rPr>
        <w:t>Design of the hood is particularly important as it is the air inlet into the LEV system determines the effectiveness of the system.</w:t>
      </w:r>
    </w:p>
    <w:p w14:paraId="38A64A91" w14:textId="77777777" w:rsidR="00C4236D" w:rsidRPr="00935561" w:rsidRDefault="00C4236D" w:rsidP="00A61D39">
      <w:pPr>
        <w:spacing w:after="0"/>
        <w:jc w:val="both"/>
        <w:rPr>
          <w:rFonts w:ascii="Tahoma" w:hAnsi="Tahoma" w:cs="Tahoma"/>
          <w:sz w:val="20"/>
          <w:szCs w:val="20"/>
        </w:rPr>
      </w:pPr>
    </w:p>
    <w:p w14:paraId="556993B2" w14:textId="13302074" w:rsidR="00601FA8" w:rsidRPr="00935561" w:rsidRDefault="00935561" w:rsidP="00EA49D0">
      <w:pPr>
        <w:spacing w:after="0"/>
        <w:jc w:val="center"/>
        <w:rPr>
          <w:rFonts w:ascii="Tahoma" w:hAnsi="Tahoma" w:cs="Tahoma"/>
          <w:sz w:val="20"/>
          <w:szCs w:val="20"/>
        </w:rPr>
      </w:pPr>
      <w:r>
        <w:rPr>
          <w:noProof/>
        </w:rPr>
        <w:drawing>
          <wp:inline distT="0" distB="0" distL="0" distR="0" wp14:anchorId="571DAAF1" wp14:editId="3E698B82">
            <wp:extent cx="1692169" cy="1588726"/>
            <wp:effectExtent l="0" t="0" r="3810" b="0"/>
            <wp:docPr id="8" name="Picture 8" descr="Breathe Freely Controlling Exposures to Prevent Occupational Lung Disease  in Industry | an introduction to L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eathe Freely Controlling Exposures to Prevent Occupational Lung Disease  in Industry | an introduction to LE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451" cy="1604013"/>
                    </a:xfrm>
                    <a:prstGeom prst="rect">
                      <a:avLst/>
                    </a:prstGeom>
                    <a:noFill/>
                    <a:ln>
                      <a:noFill/>
                    </a:ln>
                  </pic:spPr>
                </pic:pic>
              </a:graphicData>
            </a:graphic>
          </wp:inline>
        </w:drawing>
      </w:r>
      <w:r w:rsidR="00EA49D0">
        <w:rPr>
          <w:noProof/>
        </w:rPr>
        <w:t xml:space="preserve">                  </w:t>
      </w:r>
      <w:r w:rsidR="00EA49D0">
        <w:rPr>
          <w:noProof/>
        </w:rPr>
        <w:drawing>
          <wp:inline distT="0" distB="0" distL="0" distR="0" wp14:anchorId="16A88EDD" wp14:editId="26B80FD5">
            <wp:extent cx="1781175" cy="1590675"/>
            <wp:effectExtent l="0" t="0" r="9525" b="9525"/>
            <wp:docPr id="13" name="Picture 13" descr="Local Exhaust Ventilation Testing &amp;amp; LEV Testing Services | E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cal Exhaust Ventilation Testing &amp;amp; LEV Testing Services | EC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8185" cy="1596935"/>
                    </a:xfrm>
                    <a:prstGeom prst="rect">
                      <a:avLst/>
                    </a:prstGeom>
                    <a:noFill/>
                    <a:ln>
                      <a:noFill/>
                    </a:ln>
                  </pic:spPr>
                </pic:pic>
              </a:graphicData>
            </a:graphic>
          </wp:inline>
        </w:drawing>
      </w:r>
    </w:p>
    <w:p w14:paraId="0A11C336" w14:textId="77777777" w:rsidR="00C4236D" w:rsidRDefault="00C4236D" w:rsidP="00A61D39">
      <w:pPr>
        <w:spacing w:after="0"/>
        <w:jc w:val="both"/>
        <w:rPr>
          <w:rFonts w:ascii="Tahoma" w:hAnsi="Tahoma" w:cs="Tahoma"/>
          <w:sz w:val="20"/>
          <w:szCs w:val="20"/>
        </w:rPr>
      </w:pPr>
    </w:p>
    <w:p w14:paraId="238E9551" w14:textId="5E875D43" w:rsidR="00601FA8" w:rsidRDefault="00935561" w:rsidP="00A61D39">
      <w:pPr>
        <w:spacing w:after="0"/>
        <w:jc w:val="both"/>
        <w:rPr>
          <w:rFonts w:ascii="Tahoma" w:hAnsi="Tahoma" w:cs="Tahoma"/>
          <w:sz w:val="20"/>
          <w:szCs w:val="20"/>
        </w:rPr>
      </w:pPr>
      <w:r>
        <w:rPr>
          <w:rFonts w:ascii="Tahoma" w:hAnsi="Tahoma" w:cs="Tahoma"/>
          <w:sz w:val="20"/>
          <w:szCs w:val="20"/>
        </w:rPr>
        <w:t xml:space="preserve">Provide an easy way of checking the LEV is working, </w:t>
      </w:r>
      <w:r w:rsidR="00C4236D">
        <w:rPr>
          <w:rFonts w:ascii="Tahoma" w:hAnsi="Tahoma" w:cs="Tahoma"/>
          <w:sz w:val="20"/>
          <w:szCs w:val="20"/>
        </w:rPr>
        <w:t>e.g.,</w:t>
      </w:r>
      <w:r>
        <w:rPr>
          <w:rFonts w:ascii="Tahoma" w:hAnsi="Tahoma" w:cs="Tahoma"/>
          <w:sz w:val="20"/>
          <w:szCs w:val="20"/>
        </w:rPr>
        <w:t xml:space="preserve"> airflow indicator.</w:t>
      </w:r>
    </w:p>
    <w:p w14:paraId="662C8660" w14:textId="1C08B393" w:rsidR="00935561" w:rsidRDefault="00935561" w:rsidP="00A61D39">
      <w:pPr>
        <w:spacing w:after="0"/>
        <w:jc w:val="both"/>
        <w:rPr>
          <w:rFonts w:ascii="Tahoma" w:hAnsi="Tahoma" w:cs="Tahoma"/>
          <w:sz w:val="20"/>
          <w:szCs w:val="20"/>
        </w:rPr>
      </w:pPr>
      <w:r>
        <w:rPr>
          <w:rFonts w:ascii="Tahoma" w:hAnsi="Tahoma" w:cs="Tahoma"/>
          <w:sz w:val="20"/>
          <w:szCs w:val="20"/>
        </w:rPr>
        <w:t xml:space="preserve">Ensure extracted air is discharged outside the building to a safe place away from doors, </w:t>
      </w:r>
      <w:r w:rsidR="00C4236D">
        <w:rPr>
          <w:rFonts w:ascii="Tahoma" w:hAnsi="Tahoma" w:cs="Tahoma"/>
          <w:sz w:val="20"/>
          <w:szCs w:val="20"/>
        </w:rPr>
        <w:t>windows,</w:t>
      </w:r>
      <w:r>
        <w:rPr>
          <w:rFonts w:ascii="Tahoma" w:hAnsi="Tahoma" w:cs="Tahoma"/>
          <w:sz w:val="20"/>
          <w:szCs w:val="20"/>
        </w:rPr>
        <w:t xml:space="preserve"> and air inlets. Where not possible – Air extracted needs to be cleaned, filtered.</w:t>
      </w:r>
      <w:r w:rsidR="00EA49D0">
        <w:rPr>
          <w:rFonts w:ascii="Tahoma" w:hAnsi="Tahoma" w:cs="Tahoma"/>
          <w:sz w:val="20"/>
          <w:szCs w:val="20"/>
        </w:rPr>
        <w:t xml:space="preserve"> – use suitable filters within the unit &amp; replaced regularly.</w:t>
      </w:r>
    </w:p>
    <w:p w14:paraId="14DDCE05" w14:textId="77777777" w:rsidR="00496872" w:rsidRPr="00935561" w:rsidRDefault="00496872" w:rsidP="00A61D39">
      <w:pPr>
        <w:spacing w:after="0"/>
        <w:jc w:val="both"/>
        <w:rPr>
          <w:rFonts w:ascii="Tahoma" w:hAnsi="Tahoma" w:cs="Tahoma"/>
          <w:sz w:val="20"/>
          <w:szCs w:val="20"/>
        </w:rPr>
      </w:pPr>
    </w:p>
    <w:p w14:paraId="7E1DDCE1" w14:textId="10D1AE6F" w:rsidR="00601FA8" w:rsidRPr="00935561" w:rsidRDefault="00C4236D" w:rsidP="00A61D39">
      <w:pPr>
        <w:spacing w:after="0"/>
        <w:jc w:val="both"/>
        <w:rPr>
          <w:rFonts w:ascii="Tahoma" w:hAnsi="Tahoma" w:cs="Tahoma"/>
          <w:sz w:val="20"/>
          <w:szCs w:val="20"/>
        </w:rPr>
      </w:pPr>
      <w:r w:rsidRPr="00EA49D0">
        <w:rPr>
          <w:rFonts w:ascii="Tahoma" w:hAnsi="Tahoma" w:cs="Tahoma"/>
          <w:noProof/>
          <w:sz w:val="20"/>
          <w:szCs w:val="20"/>
        </w:rPr>
        <mc:AlternateContent>
          <mc:Choice Requires="wps">
            <w:drawing>
              <wp:anchor distT="45720" distB="45720" distL="114300" distR="114300" simplePos="0" relativeHeight="251659264" behindDoc="0" locked="0" layoutInCell="1" allowOverlap="1" wp14:anchorId="3DCFF8A4" wp14:editId="05D3848C">
                <wp:simplePos x="0" y="0"/>
                <wp:positionH relativeFrom="column">
                  <wp:posOffset>1628775</wp:posOffset>
                </wp:positionH>
                <wp:positionV relativeFrom="paragraph">
                  <wp:posOffset>175895</wp:posOffset>
                </wp:positionV>
                <wp:extent cx="3145155" cy="120015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155" cy="1200150"/>
                        </a:xfrm>
                        <a:prstGeom prst="rect">
                          <a:avLst/>
                        </a:prstGeom>
                        <a:solidFill>
                          <a:srgbClr val="FFFFFF"/>
                        </a:solidFill>
                        <a:ln w="9525">
                          <a:solidFill>
                            <a:srgbClr val="000000"/>
                          </a:solidFill>
                          <a:miter lim="800000"/>
                          <a:headEnd/>
                          <a:tailEnd/>
                        </a:ln>
                      </wps:spPr>
                      <wps:txbx>
                        <w:txbxContent>
                          <w:p w14:paraId="6879290E" w14:textId="05D99C7C" w:rsidR="00EA49D0" w:rsidRDefault="00EA49D0">
                            <w:pPr>
                              <w:rPr>
                                <w:rFonts w:ascii="Tahoma" w:hAnsi="Tahoma" w:cs="Tahoma"/>
                                <w:sz w:val="20"/>
                                <w:szCs w:val="20"/>
                              </w:rPr>
                            </w:pPr>
                            <w:r w:rsidRPr="00EA49D0">
                              <w:rPr>
                                <w:rFonts w:ascii="Tahoma" w:hAnsi="Tahoma" w:cs="Tahoma"/>
                                <w:sz w:val="20"/>
                                <w:szCs w:val="20"/>
                              </w:rPr>
                              <w:t>Portable LEV. – Workpieces that can be transported to a workplace</w:t>
                            </w:r>
                            <w:r>
                              <w:rPr>
                                <w:rFonts w:ascii="Tahoma" w:hAnsi="Tahoma" w:cs="Tahoma"/>
                                <w:sz w:val="20"/>
                                <w:szCs w:val="20"/>
                              </w:rPr>
                              <w:t xml:space="preserve"> and positioned on a welding bench or booth.</w:t>
                            </w:r>
                          </w:p>
                          <w:p w14:paraId="0854EB16" w14:textId="41A7C0C8" w:rsidR="00EA49D0" w:rsidRPr="00EA49D0" w:rsidRDefault="00EA49D0">
                            <w:pPr>
                              <w:rPr>
                                <w:rFonts w:ascii="Tahoma" w:hAnsi="Tahoma" w:cs="Tahoma"/>
                                <w:sz w:val="20"/>
                                <w:szCs w:val="20"/>
                              </w:rPr>
                            </w:pPr>
                            <w:r>
                              <w:rPr>
                                <w:rFonts w:ascii="Tahoma" w:hAnsi="Tahoma" w:cs="Tahoma"/>
                                <w:sz w:val="20"/>
                                <w:szCs w:val="20"/>
                              </w:rPr>
                              <w:t>Ensure the fumes are drawn away from the welder</w:t>
                            </w:r>
                            <w:r w:rsidR="00974737">
                              <w:rPr>
                                <w:rFonts w:ascii="Tahoma" w:hAnsi="Tahoma" w:cs="Tahoma"/>
                                <w:sz w:val="20"/>
                                <w:szCs w:val="20"/>
                              </w:rPr>
                              <w:t xml:space="preserve"> enclosing as much of the bench as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CFF8A4" id="_x0000_t202" coordsize="21600,21600" o:spt="202" path="m,l,21600r21600,l21600,xe">
                <v:stroke joinstyle="miter"/>
                <v:path gradientshapeok="t" o:connecttype="rect"/>
              </v:shapetype>
              <v:shape id="Text Box 2" o:spid="_x0000_s1026" type="#_x0000_t202" style="position:absolute;left:0;text-align:left;margin-left:128.25pt;margin-top:13.85pt;width:247.65pt;height: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">
                <v:textbox>
                  <w:txbxContent>
                    <w:p w14:paraId="6879290E" w14:textId="05D99C7C" w:rsidR="00EA49D0" w:rsidRDefault="00EA49D0">
                      <w:pPr>
                        <w:rPr>
                          <w:rFonts w:ascii="Tahoma" w:hAnsi="Tahoma" w:cs="Tahoma"/>
                          <w:sz w:val="20"/>
                          <w:szCs w:val="20"/>
                        </w:rPr>
                      </w:pPr>
                      <w:r w:rsidRPr="00EA49D0">
                        <w:rPr>
                          <w:rFonts w:ascii="Tahoma" w:hAnsi="Tahoma" w:cs="Tahoma"/>
                          <w:sz w:val="20"/>
                          <w:szCs w:val="20"/>
                        </w:rPr>
                        <w:t>Portable LEV. – Workpieces that can be transported to a workplace</w:t>
                      </w:r>
                      <w:r>
                        <w:rPr>
                          <w:rFonts w:ascii="Tahoma" w:hAnsi="Tahoma" w:cs="Tahoma"/>
                          <w:sz w:val="20"/>
                          <w:szCs w:val="20"/>
                        </w:rPr>
                        <w:t xml:space="preserve"> and positioned on a welding bench or booth.</w:t>
                      </w:r>
                    </w:p>
                    <w:p w14:paraId="0854EB16" w14:textId="41A7C0C8" w:rsidR="00EA49D0" w:rsidRPr="00EA49D0" w:rsidRDefault="00EA49D0">
                      <w:pPr>
                        <w:rPr>
                          <w:rFonts w:ascii="Tahoma" w:hAnsi="Tahoma" w:cs="Tahoma"/>
                          <w:sz w:val="20"/>
                          <w:szCs w:val="20"/>
                        </w:rPr>
                      </w:pPr>
                      <w:r>
                        <w:rPr>
                          <w:rFonts w:ascii="Tahoma" w:hAnsi="Tahoma" w:cs="Tahoma"/>
                          <w:sz w:val="20"/>
                          <w:szCs w:val="20"/>
                        </w:rPr>
                        <w:t>Ensure the fumes are drawn away from the welder</w:t>
                      </w:r>
                      <w:r w:rsidR="00974737">
                        <w:rPr>
                          <w:rFonts w:ascii="Tahoma" w:hAnsi="Tahoma" w:cs="Tahoma"/>
                          <w:sz w:val="20"/>
                          <w:szCs w:val="20"/>
                        </w:rPr>
                        <w:t xml:space="preserve"> enclosing as much of the bench as possible.</w:t>
                      </w:r>
                    </w:p>
                  </w:txbxContent>
                </v:textbox>
                <w10:wrap type="square"/>
              </v:shape>
            </w:pict>
          </mc:Fallback>
        </mc:AlternateContent>
      </w:r>
      <w:r w:rsidR="00974737" w:rsidRPr="00974737">
        <w:rPr>
          <w:rFonts w:ascii="Tahoma" w:hAnsi="Tahoma" w:cs="Tahoma"/>
          <w:b/>
          <w:bCs/>
          <w:noProof/>
          <w:color w:val="4472C4" w:themeColor="accent1"/>
          <w:sz w:val="20"/>
          <w:szCs w:val="20"/>
        </w:rPr>
        <mc:AlternateContent>
          <mc:Choice Requires="wps">
            <w:drawing>
              <wp:anchor distT="45720" distB="45720" distL="114300" distR="114300" simplePos="0" relativeHeight="251661312" behindDoc="0" locked="0" layoutInCell="1" allowOverlap="1" wp14:anchorId="1C8E9A69" wp14:editId="131B882F">
                <wp:simplePos x="0" y="0"/>
                <wp:positionH relativeFrom="column">
                  <wp:posOffset>3630295</wp:posOffset>
                </wp:positionH>
                <wp:positionV relativeFrom="paragraph">
                  <wp:posOffset>1462405</wp:posOffset>
                </wp:positionV>
                <wp:extent cx="1144905" cy="126047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260475"/>
                        </a:xfrm>
                        <a:prstGeom prst="rect">
                          <a:avLst/>
                        </a:prstGeom>
                        <a:solidFill>
                          <a:srgbClr val="FFFFFF"/>
                        </a:solidFill>
                        <a:ln w="9525">
                          <a:noFill/>
                          <a:miter lim="800000"/>
                          <a:headEnd/>
                          <a:tailEnd/>
                        </a:ln>
                      </wps:spPr>
                      <wps:txbx>
                        <w:txbxContent>
                          <w:p w14:paraId="7580C383" w14:textId="60B253C0" w:rsidR="00974737" w:rsidRDefault="00974737">
                            <w:r>
                              <w:rPr>
                                <w:noProof/>
                              </w:rPr>
                              <w:drawing>
                                <wp:inline distT="0" distB="0" distL="0" distR="0" wp14:anchorId="3443D666" wp14:editId="3FC6B317">
                                  <wp:extent cx="933450" cy="1157605"/>
                                  <wp:effectExtent l="0" t="0" r="0" b="4445"/>
                                  <wp:docPr id="15" name="Picture 15" descr="Breathe Freely Controlling Exposures to Prevent Occupational Lung Disease  in Industry | RPE programme for we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reathe Freely Controlling Exposures to Prevent Occupational Lung Disease  in Industry | RPE programme for weld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658" cy="115786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E9A69" id="_x0000_s1027" type="#_x0000_t202" style="position:absolute;left:0;text-align:left;margin-left:285.85pt;margin-top:115.15pt;width:90.15pt;height:9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" stroked="f">
                <v:textbox>
                  <w:txbxContent>
                    <w:p w14:paraId="7580C383" w14:textId="60B253C0" w:rsidR="00974737" w:rsidRDefault="00974737">
                      <w:r>
                        <w:rPr>
                          <w:noProof/>
                        </w:rPr>
                        <w:drawing>
                          <wp:inline distT="0" distB="0" distL="0" distR="0" wp14:anchorId="3443D666" wp14:editId="3FC6B317">
                            <wp:extent cx="933450" cy="1157605"/>
                            <wp:effectExtent l="0" t="0" r="0" b="4445"/>
                            <wp:docPr id="15" name="Picture 15" descr="Breathe Freely Controlling Exposures to Prevent Occupational Lung Disease  in Industry | RPE programme for we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reathe Freely Controlling Exposures to Prevent Occupational Lung Disease  in Industry | RPE programme for weld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658" cy="1157863"/>
                                    </a:xfrm>
                                    <a:prstGeom prst="rect">
                                      <a:avLst/>
                                    </a:prstGeom>
                                    <a:noFill/>
                                    <a:ln>
                                      <a:noFill/>
                                    </a:ln>
                                  </pic:spPr>
                                </pic:pic>
                              </a:graphicData>
                            </a:graphic>
                          </wp:inline>
                        </w:drawing>
                      </w:r>
                    </w:p>
                  </w:txbxContent>
                </v:textbox>
                <w10:wrap type="square"/>
              </v:shape>
            </w:pict>
          </mc:Fallback>
        </mc:AlternateContent>
      </w:r>
      <w:r w:rsidR="00EA49D0">
        <w:rPr>
          <w:noProof/>
        </w:rPr>
        <w:drawing>
          <wp:inline distT="0" distB="0" distL="0" distR="0" wp14:anchorId="1B8A48BA" wp14:editId="56E241DB">
            <wp:extent cx="1463675" cy="1463675"/>
            <wp:effectExtent l="0" t="0" r="3175" b="3175"/>
            <wp:docPr id="14" name="Picture 14" descr="Portable Local exhaust ventilation Unit | Other Environmental Products |  GOBIZKORE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rtable Local exhaust ventilation Unit | Other Environmental Products |  GOBIZKOREA.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675" cy="1463675"/>
                    </a:xfrm>
                    <a:prstGeom prst="rect">
                      <a:avLst/>
                    </a:prstGeom>
                    <a:noFill/>
                    <a:ln>
                      <a:noFill/>
                    </a:ln>
                  </pic:spPr>
                </pic:pic>
              </a:graphicData>
            </a:graphic>
          </wp:inline>
        </w:drawing>
      </w:r>
    </w:p>
    <w:p w14:paraId="1CE6C0AF" w14:textId="513DE416" w:rsidR="00601FA8" w:rsidRPr="00935561" w:rsidRDefault="00601FA8" w:rsidP="00A61D39">
      <w:pPr>
        <w:spacing w:after="0"/>
        <w:jc w:val="both"/>
        <w:rPr>
          <w:rFonts w:ascii="Tahoma" w:hAnsi="Tahoma" w:cs="Tahoma"/>
          <w:sz w:val="20"/>
          <w:szCs w:val="20"/>
        </w:rPr>
      </w:pPr>
    </w:p>
    <w:p w14:paraId="1E5FDF13" w14:textId="4D9D4A81" w:rsidR="00A61D39" w:rsidRPr="00A61D39" w:rsidRDefault="00A61D39" w:rsidP="00A61D39">
      <w:pPr>
        <w:spacing w:after="0"/>
        <w:jc w:val="both"/>
        <w:rPr>
          <w:rFonts w:ascii="Tahoma" w:hAnsi="Tahoma" w:cs="Tahoma"/>
          <w:b/>
          <w:bCs/>
          <w:color w:val="4472C4" w:themeColor="accent1"/>
          <w:sz w:val="20"/>
          <w:szCs w:val="20"/>
        </w:rPr>
      </w:pPr>
      <w:r w:rsidRPr="00A61D39">
        <w:rPr>
          <w:rFonts w:ascii="Tahoma" w:hAnsi="Tahoma" w:cs="Tahoma"/>
          <w:b/>
          <w:bCs/>
          <w:color w:val="4472C4" w:themeColor="accent1"/>
          <w:sz w:val="20"/>
          <w:szCs w:val="20"/>
        </w:rPr>
        <w:t>Discussion Points:</w:t>
      </w:r>
    </w:p>
    <w:p w14:paraId="27A491BB" w14:textId="6F7784C1" w:rsidR="00A61D39" w:rsidRPr="00A61D39" w:rsidRDefault="00A61D39" w:rsidP="00A61D39">
      <w:pPr>
        <w:spacing w:after="0"/>
        <w:jc w:val="both"/>
        <w:rPr>
          <w:rFonts w:ascii="Tahoma" w:hAnsi="Tahoma" w:cs="Tahoma"/>
          <w:color w:val="4472C4" w:themeColor="accent1"/>
          <w:sz w:val="20"/>
          <w:szCs w:val="20"/>
        </w:rPr>
      </w:pPr>
    </w:p>
    <w:p w14:paraId="77ADC99F" w14:textId="62B5F0F6" w:rsidR="00A61D39" w:rsidRDefault="00974737" w:rsidP="00A61D39">
      <w:pPr>
        <w:spacing w:after="0"/>
        <w:jc w:val="both"/>
        <w:rPr>
          <w:rFonts w:ascii="Tahoma" w:hAnsi="Tahoma" w:cs="Tahoma"/>
          <w:color w:val="4472C4" w:themeColor="accent1"/>
          <w:sz w:val="20"/>
          <w:szCs w:val="20"/>
        </w:rPr>
      </w:pPr>
      <w:r>
        <w:rPr>
          <w:rFonts w:ascii="Tahoma" w:hAnsi="Tahoma" w:cs="Tahoma"/>
          <w:color w:val="4472C4" w:themeColor="accent1"/>
          <w:sz w:val="20"/>
          <w:szCs w:val="20"/>
        </w:rPr>
        <w:t>What different types of LEV are available? Where are they most effective?</w:t>
      </w:r>
    </w:p>
    <w:p w14:paraId="78E9F284" w14:textId="6234587A" w:rsidR="00974737" w:rsidRDefault="00974737" w:rsidP="00A61D39">
      <w:pPr>
        <w:spacing w:after="0"/>
        <w:jc w:val="both"/>
        <w:rPr>
          <w:rFonts w:ascii="Tahoma" w:hAnsi="Tahoma" w:cs="Tahoma"/>
          <w:color w:val="4472C4" w:themeColor="accent1"/>
          <w:sz w:val="20"/>
          <w:szCs w:val="20"/>
        </w:rPr>
      </w:pPr>
      <w:r>
        <w:rPr>
          <w:rFonts w:ascii="Tahoma" w:hAnsi="Tahoma" w:cs="Tahoma"/>
          <w:color w:val="4472C4" w:themeColor="accent1"/>
          <w:sz w:val="20"/>
          <w:szCs w:val="20"/>
        </w:rPr>
        <w:t>RPE – where should it be used?</w:t>
      </w:r>
    </w:p>
    <w:p w14:paraId="0D333AD5" w14:textId="77777777" w:rsidR="00974737" w:rsidRPr="00A61D39" w:rsidRDefault="00974737" w:rsidP="00A61D39">
      <w:pPr>
        <w:spacing w:after="0"/>
        <w:jc w:val="both"/>
        <w:rPr>
          <w:rFonts w:ascii="Tahoma" w:hAnsi="Tahoma" w:cs="Tahoma"/>
          <w:color w:val="4472C4" w:themeColor="accent1"/>
          <w:sz w:val="20"/>
          <w:szCs w:val="20"/>
        </w:rPr>
      </w:pPr>
    </w:p>
    <w:p w14:paraId="5C4D1547" w14:textId="77777777" w:rsidR="00A61D39" w:rsidRDefault="00A61D39" w:rsidP="002526FD">
      <w:pPr>
        <w:spacing w:after="0"/>
        <w:jc w:val="both"/>
        <w:rPr>
          <w:rFonts w:ascii="Tahoma" w:hAnsi="Tahoma" w:cs="Tahoma"/>
          <w:sz w:val="20"/>
          <w:szCs w:val="20"/>
        </w:rPr>
      </w:pPr>
    </w:p>
    <w:p w14:paraId="2AA13BA4" w14:textId="77777777" w:rsidR="00B822CE" w:rsidRPr="002526FD" w:rsidRDefault="00B822CE" w:rsidP="002526FD">
      <w:pPr>
        <w:spacing w:after="0"/>
        <w:jc w:val="both"/>
        <w:rPr>
          <w:rFonts w:ascii="Tahoma" w:hAnsi="Tahoma" w:cs="Tahoma"/>
          <w:sz w:val="20"/>
          <w:szCs w:val="20"/>
        </w:rPr>
      </w:pPr>
    </w:p>
    <w:sectPr w:rsidR="00B822CE" w:rsidRPr="002526FD" w:rsidSect="00063DFD">
      <w:headerReference w:type="default" r:id="rId1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D8E42" w14:textId="77777777" w:rsidR="00A2496D" w:rsidRDefault="00A2496D" w:rsidP="00063DFD">
      <w:pPr>
        <w:spacing w:after="0" w:line="240" w:lineRule="auto"/>
      </w:pPr>
      <w:r>
        <w:separator/>
      </w:r>
    </w:p>
  </w:endnote>
  <w:endnote w:type="continuationSeparator" w:id="0">
    <w:p w14:paraId="1336E31A" w14:textId="77777777" w:rsidR="00A2496D" w:rsidRDefault="00A2496D" w:rsidP="0006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717BC" w14:textId="77777777" w:rsidR="00A2496D" w:rsidRDefault="00A2496D" w:rsidP="00063DFD">
      <w:pPr>
        <w:spacing w:after="0" w:line="240" w:lineRule="auto"/>
      </w:pPr>
      <w:r>
        <w:separator/>
      </w:r>
    </w:p>
  </w:footnote>
  <w:footnote w:type="continuationSeparator" w:id="0">
    <w:p w14:paraId="1541BD3D" w14:textId="77777777" w:rsidR="00A2496D" w:rsidRDefault="00A2496D" w:rsidP="00063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D026" w14:textId="2122991B" w:rsidR="009003EB" w:rsidRPr="00063DFD" w:rsidRDefault="009003EB" w:rsidP="00063DFD">
    <w:pPr>
      <w:pStyle w:val="Header"/>
      <w:rPr>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3DFD">
      <w:rPr>
        <w:rFonts w:ascii="Arial" w:eastAsia="Calibri" w:hAnsi="Arial" w:cs="Arial"/>
        <w:noProof/>
        <w:lang w:eastAsia="en-GB"/>
      </w:rPr>
      <w:drawing>
        <wp:inline distT="0" distB="0" distL="0" distR="0" wp14:anchorId="01B7F878" wp14:editId="4B14ED54">
          <wp:extent cx="885825" cy="42234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2049" cy="439615"/>
                  </a:xfrm>
                  <a:prstGeom prst="rect">
                    <a:avLst/>
                  </a:prstGeom>
                  <a:noFill/>
                  <a:ln>
                    <a:noFill/>
                  </a:ln>
                </pic:spPr>
              </pic:pic>
            </a:graphicData>
          </a:graphic>
        </wp:inline>
      </w:drawing>
    </w:r>
    <w:r w:rsidR="00B05CD9">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WELDING </w:t>
    </w:r>
    <w:r w:rsidR="00F31A6F">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&amp; </w:t>
    </w:r>
    <w:r w:rsidR="00B05CD9">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FUME CONTROL</w:t>
    </w:r>
    <w:r w:rsidR="00374A18">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DOC REF:</w:t>
    </w:r>
    <w:r w:rsidR="00565307">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F00</w:t>
    </w:r>
    <w:r w:rsidR="00F31A6F">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B05CD9">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WFC</w:t>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531"/>
    <w:multiLevelType w:val="hybridMultilevel"/>
    <w:tmpl w:val="E12E5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72DB0"/>
    <w:multiLevelType w:val="hybridMultilevel"/>
    <w:tmpl w:val="E9028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D2A35"/>
    <w:multiLevelType w:val="hybridMultilevel"/>
    <w:tmpl w:val="D61A6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085DC5"/>
    <w:multiLevelType w:val="hybridMultilevel"/>
    <w:tmpl w:val="873EC546"/>
    <w:lvl w:ilvl="0" w:tplc="86AE51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7F02B0"/>
    <w:multiLevelType w:val="hybridMultilevel"/>
    <w:tmpl w:val="92DA3E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D0BE8"/>
    <w:multiLevelType w:val="hybridMultilevel"/>
    <w:tmpl w:val="E788F4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16B68"/>
    <w:multiLevelType w:val="hybridMultilevel"/>
    <w:tmpl w:val="8FE84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FF1368"/>
    <w:multiLevelType w:val="hybridMultilevel"/>
    <w:tmpl w:val="3F9CBD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8141A3"/>
    <w:multiLevelType w:val="hybridMultilevel"/>
    <w:tmpl w:val="808034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259B0"/>
    <w:multiLevelType w:val="hybridMultilevel"/>
    <w:tmpl w:val="D834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047713"/>
    <w:multiLevelType w:val="hybridMultilevel"/>
    <w:tmpl w:val="CADCFF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583547"/>
    <w:multiLevelType w:val="hybridMultilevel"/>
    <w:tmpl w:val="3C76C3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A45827"/>
    <w:multiLevelType w:val="hybridMultilevel"/>
    <w:tmpl w:val="466C2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1F1F78"/>
    <w:multiLevelType w:val="hybridMultilevel"/>
    <w:tmpl w:val="CD828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256FA5"/>
    <w:multiLevelType w:val="hybridMultilevel"/>
    <w:tmpl w:val="DA8C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87C24"/>
    <w:multiLevelType w:val="hybridMultilevel"/>
    <w:tmpl w:val="63A05A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4"/>
  </w:num>
  <w:num w:numId="4">
    <w:abstractNumId w:val="13"/>
  </w:num>
  <w:num w:numId="5">
    <w:abstractNumId w:val="6"/>
  </w:num>
  <w:num w:numId="6">
    <w:abstractNumId w:val="0"/>
  </w:num>
  <w:num w:numId="7">
    <w:abstractNumId w:val="15"/>
  </w:num>
  <w:num w:numId="8">
    <w:abstractNumId w:val="5"/>
  </w:num>
  <w:num w:numId="9">
    <w:abstractNumId w:val="3"/>
  </w:num>
  <w:num w:numId="10">
    <w:abstractNumId w:val="10"/>
  </w:num>
  <w:num w:numId="11">
    <w:abstractNumId w:val="4"/>
  </w:num>
  <w:num w:numId="12">
    <w:abstractNumId w:val="8"/>
  </w:num>
  <w:num w:numId="13">
    <w:abstractNumId w:val="7"/>
  </w:num>
  <w:num w:numId="14">
    <w:abstractNumId w:val="9"/>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FD"/>
    <w:rsid w:val="000064A4"/>
    <w:rsid w:val="0005092B"/>
    <w:rsid w:val="00063DFD"/>
    <w:rsid w:val="000807C7"/>
    <w:rsid w:val="00091E6B"/>
    <w:rsid w:val="000C09C0"/>
    <w:rsid w:val="00165602"/>
    <w:rsid w:val="00174140"/>
    <w:rsid w:val="001A416D"/>
    <w:rsid w:val="001B3F0A"/>
    <w:rsid w:val="00221D23"/>
    <w:rsid w:val="00246E7C"/>
    <w:rsid w:val="002526FD"/>
    <w:rsid w:val="0027637B"/>
    <w:rsid w:val="00283665"/>
    <w:rsid w:val="002D765C"/>
    <w:rsid w:val="003022D8"/>
    <w:rsid w:val="003036D2"/>
    <w:rsid w:val="003231E5"/>
    <w:rsid w:val="003446E0"/>
    <w:rsid w:val="003550C8"/>
    <w:rsid w:val="00355364"/>
    <w:rsid w:val="00374A18"/>
    <w:rsid w:val="00392D93"/>
    <w:rsid w:val="003B232F"/>
    <w:rsid w:val="003C120B"/>
    <w:rsid w:val="003C6AAD"/>
    <w:rsid w:val="00404C79"/>
    <w:rsid w:val="0044107F"/>
    <w:rsid w:val="00496872"/>
    <w:rsid w:val="004A1D7A"/>
    <w:rsid w:val="005049F1"/>
    <w:rsid w:val="00507EE7"/>
    <w:rsid w:val="0055514D"/>
    <w:rsid w:val="00560400"/>
    <w:rsid w:val="00565307"/>
    <w:rsid w:val="00601FA8"/>
    <w:rsid w:val="00604339"/>
    <w:rsid w:val="00656840"/>
    <w:rsid w:val="006C1C1F"/>
    <w:rsid w:val="006C7FE8"/>
    <w:rsid w:val="006D4DE2"/>
    <w:rsid w:val="00703DD2"/>
    <w:rsid w:val="0071099E"/>
    <w:rsid w:val="00732E22"/>
    <w:rsid w:val="007545CF"/>
    <w:rsid w:val="007A3CD3"/>
    <w:rsid w:val="007B46A0"/>
    <w:rsid w:val="007C6DD7"/>
    <w:rsid w:val="007D08F4"/>
    <w:rsid w:val="007E3E2A"/>
    <w:rsid w:val="008A78AC"/>
    <w:rsid w:val="008F6222"/>
    <w:rsid w:val="009003EB"/>
    <w:rsid w:val="00902E0C"/>
    <w:rsid w:val="00935561"/>
    <w:rsid w:val="00974737"/>
    <w:rsid w:val="0097709C"/>
    <w:rsid w:val="009B0737"/>
    <w:rsid w:val="00A21250"/>
    <w:rsid w:val="00A21A48"/>
    <w:rsid w:val="00A2496D"/>
    <w:rsid w:val="00A44012"/>
    <w:rsid w:val="00A61D39"/>
    <w:rsid w:val="00A66669"/>
    <w:rsid w:val="00A839D5"/>
    <w:rsid w:val="00A97697"/>
    <w:rsid w:val="00AB333B"/>
    <w:rsid w:val="00B02428"/>
    <w:rsid w:val="00B04692"/>
    <w:rsid w:val="00B05CD9"/>
    <w:rsid w:val="00B822CE"/>
    <w:rsid w:val="00B9398F"/>
    <w:rsid w:val="00C4236D"/>
    <w:rsid w:val="00C709FF"/>
    <w:rsid w:val="00C754DB"/>
    <w:rsid w:val="00C803A6"/>
    <w:rsid w:val="00CA6855"/>
    <w:rsid w:val="00CC4C40"/>
    <w:rsid w:val="00D156EE"/>
    <w:rsid w:val="00D215B3"/>
    <w:rsid w:val="00D82B97"/>
    <w:rsid w:val="00DA52D6"/>
    <w:rsid w:val="00DB2D6A"/>
    <w:rsid w:val="00DC178F"/>
    <w:rsid w:val="00DC766B"/>
    <w:rsid w:val="00DD274C"/>
    <w:rsid w:val="00DD4EF0"/>
    <w:rsid w:val="00E4458C"/>
    <w:rsid w:val="00E63C05"/>
    <w:rsid w:val="00E8750E"/>
    <w:rsid w:val="00EA49D0"/>
    <w:rsid w:val="00ED6C15"/>
    <w:rsid w:val="00F051E9"/>
    <w:rsid w:val="00F31A6F"/>
    <w:rsid w:val="00F45B1F"/>
    <w:rsid w:val="00F46356"/>
    <w:rsid w:val="00F95DCE"/>
    <w:rsid w:val="00FB3909"/>
    <w:rsid w:val="00FC1828"/>
    <w:rsid w:val="00FD651D"/>
    <w:rsid w:val="00FF3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FB3895"/>
  <w15:chartTrackingRefBased/>
  <w15:docId w15:val="{AFF99353-746D-4CA6-ACB0-D90455E4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DFD"/>
  </w:style>
  <w:style w:type="paragraph" w:styleId="Footer">
    <w:name w:val="footer"/>
    <w:basedOn w:val="Normal"/>
    <w:link w:val="FooterChar"/>
    <w:uiPriority w:val="99"/>
    <w:unhideWhenUsed/>
    <w:rsid w:val="00063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DFD"/>
  </w:style>
  <w:style w:type="table" w:styleId="TableGrid">
    <w:name w:val="Table Grid"/>
    <w:basedOn w:val="TableNormal"/>
    <w:uiPriority w:val="39"/>
    <w:rsid w:val="00063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Shelbourn</dc:creator>
  <cp:keywords/>
  <dc:description/>
  <cp:lastModifiedBy>Jane Brown</cp:lastModifiedBy>
  <cp:revision>6</cp:revision>
  <dcterms:created xsi:type="dcterms:W3CDTF">2021-07-15T12:11:00Z</dcterms:created>
  <dcterms:modified xsi:type="dcterms:W3CDTF">2021-07-15T12:40:00Z</dcterms:modified>
</cp:coreProperties>
</file>