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773629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369C5F9" w:rsidR="00063DFD" w:rsidRPr="003550C8" w:rsidRDefault="003348F4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Lifting accessories must be correct for the job, well maintained and </w:t>
            </w:r>
            <w:r w:rsidR="001817A6">
              <w:rPr>
                <w:rFonts w:ascii="Tahoma" w:hAnsi="Tahoma" w:cs="Tahoma"/>
                <w:sz w:val="20"/>
                <w:szCs w:val="20"/>
              </w:rPr>
              <w:t>safely used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 lifting operations are to be carried out safely. Accidents have occurred because of the failure or incorrect selection and use of lifting accessories.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773629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FC27E0D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3348F4">
              <w:rPr>
                <w:rFonts w:ascii="Tahoma" w:hAnsi="Tahoma" w:cs="Tahoma"/>
                <w:sz w:val="20"/>
                <w:szCs w:val="20"/>
              </w:rPr>
              <w:t xml:space="preserve">the use of slings, chains, </w:t>
            </w:r>
            <w:r w:rsidR="001817A6">
              <w:rPr>
                <w:rFonts w:ascii="Tahoma" w:hAnsi="Tahoma" w:cs="Tahoma"/>
                <w:sz w:val="20"/>
                <w:szCs w:val="20"/>
              </w:rPr>
              <w:t>hooks,</w:t>
            </w:r>
            <w:r w:rsidR="003348F4">
              <w:rPr>
                <w:rFonts w:ascii="Tahoma" w:hAnsi="Tahoma" w:cs="Tahoma"/>
                <w:sz w:val="20"/>
                <w:szCs w:val="20"/>
              </w:rPr>
              <w:t xml:space="preserve"> and eyebolts, and some of the visual checks that should be undertaken at the start of every shift.</w:t>
            </w:r>
          </w:p>
        </w:tc>
      </w:tr>
    </w:tbl>
    <w:p w14:paraId="5B5F6C2B" w14:textId="0B8F4727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2A94749" w14:textId="0E53D00E" w:rsidR="003348F4" w:rsidRPr="00773629" w:rsidRDefault="003348F4" w:rsidP="003348F4">
      <w:pPr>
        <w:spacing w:after="0"/>
        <w:jc w:val="center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b/>
          <w:bCs/>
          <w:color w:val="ED7D31" w:themeColor="accent2"/>
          <w:sz w:val="20"/>
          <w:szCs w:val="20"/>
        </w:rPr>
        <w:t>PEOPLE CAUSE ACCIDENTS, NOT EQUIPMENT!</w:t>
      </w:r>
    </w:p>
    <w:p w14:paraId="40615212" w14:textId="70966416" w:rsidR="003348F4" w:rsidRDefault="003348F4" w:rsidP="003348F4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3348F4" w:rsidRPr="003348F4" w14:paraId="41AEF496" w14:textId="77777777" w:rsidTr="00773629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25081233" w14:textId="4D960ACA" w:rsidR="003348F4" w:rsidRPr="003348F4" w:rsidRDefault="003348F4" w:rsidP="003348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Slings and Strops:</w:t>
            </w:r>
          </w:p>
        </w:tc>
      </w:tr>
    </w:tbl>
    <w:p w14:paraId="548AA13E" w14:textId="32AFB66D" w:rsidR="003348F4" w:rsidRDefault="003348F4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Check the SWL against the weight of the load to be lifted.</w:t>
      </w:r>
    </w:p>
    <w:p w14:paraId="19F64A71" w14:textId="70EDBB0B" w:rsidR="003348F4" w:rsidRDefault="003348F4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Don’t use fibre rope or wire slings for hot loads and keep them away from welding or flame cutting operations.</w:t>
      </w:r>
    </w:p>
    <w:p w14:paraId="6B2D90ED" w14:textId="1FBF3909" w:rsidR="003348F4" w:rsidRDefault="003348F4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Ensure there are no broken ends in wires and no chafing on fibre ropes.</w:t>
      </w:r>
    </w:p>
    <w:p w14:paraId="05FBD767" w14:textId="36221D59" w:rsidR="003348F4" w:rsidRDefault="003348F4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Check the condition of splices, </w:t>
      </w:r>
      <w:r w:rsidR="001817A6">
        <w:rPr>
          <w:rFonts w:ascii="Tahoma" w:hAnsi="Tahoma" w:cs="Tahoma"/>
          <w:sz w:val="20"/>
          <w:szCs w:val="20"/>
        </w:rPr>
        <w:t>rings,</w:t>
      </w:r>
      <w:r>
        <w:rPr>
          <w:rFonts w:ascii="Tahoma" w:hAnsi="Tahoma" w:cs="Tahoma"/>
          <w:sz w:val="20"/>
          <w:szCs w:val="20"/>
        </w:rPr>
        <w:t xml:space="preserve"> and thimbles on slings.</w:t>
      </w:r>
    </w:p>
    <w:p w14:paraId="31D6B6E5" w14:textId="39D8842A" w:rsidR="003348F4" w:rsidRDefault="003348F4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Remember – the load on each leg of a multi-leg sling increases as the angle between the legs gets wider.</w:t>
      </w:r>
    </w:p>
    <w:p w14:paraId="42531A4C" w14:textId="46783619" w:rsidR="003348F4" w:rsidRDefault="00517611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3348F4">
        <w:rPr>
          <w:rFonts w:ascii="Tahoma" w:hAnsi="Tahoma" w:cs="Tahoma"/>
          <w:sz w:val="20"/>
          <w:szCs w:val="20"/>
        </w:rPr>
        <w:t>Protect wire rope or nylon slings from sharp edges.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17611" w14:paraId="7BF0C27F" w14:textId="77777777" w:rsidTr="00773629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2EF80551" w14:textId="5C4A6802" w:rsidR="00517611" w:rsidRDefault="00517611" w:rsidP="003348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Chains:</w:t>
            </w:r>
          </w:p>
        </w:tc>
      </w:tr>
    </w:tbl>
    <w:p w14:paraId="0CC02757" w14:textId="417B784F" w:rsidR="00517611" w:rsidRDefault="00517611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Make sure that the chain is not kinked or twisted and don’t shorten a chain by knotting it.</w:t>
      </w:r>
    </w:p>
    <w:p w14:paraId="38C3593F" w14:textId="73C9E710" w:rsidR="00517611" w:rsidRDefault="00517611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Never lengthen a chain by joining pieces together.</w:t>
      </w:r>
    </w:p>
    <w:p w14:paraId="23B24E9F" w14:textId="03C09A85" w:rsidR="00517611" w:rsidRDefault="00517611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Don’t lubricate chain slings because oil can pick up abrasive materials such as sand or grit.</w:t>
      </w:r>
    </w:p>
    <w:p w14:paraId="0EF49080" w14:textId="0ECCC29B" w:rsidR="00517611" w:rsidRDefault="00517611" w:rsidP="003348F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Don’t expose chains to acids or corrosive substances.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17611" w14:paraId="4BFB9B98" w14:textId="77777777" w:rsidTr="00773629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D2127AC" w14:textId="4A5837F2" w:rsidR="00517611" w:rsidRDefault="00517611" w:rsidP="003348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Shackles:</w:t>
            </w:r>
          </w:p>
        </w:tc>
      </w:tr>
    </w:tbl>
    <w:p w14:paraId="60527D83" w14:textId="75F20967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Use the right type of shackle for the job in hand. Don’t use any shackle that isn’t marked with the SWL.</w:t>
      </w:r>
    </w:p>
    <w:p w14:paraId="10BA7973" w14:textId="615FBA9D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Check the bow and pin for damage and destroy it if there is any doubt.</w:t>
      </w:r>
    </w:p>
    <w:p w14:paraId="2DDCEBB5" w14:textId="45F7B7D6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When using a shackle with a nut and bolt pin, the pin should be free to rotate when the nut is tight.</w:t>
      </w:r>
    </w:p>
    <w:p w14:paraId="7BAA986C" w14:textId="7A47CA7C" w:rsidR="00517611" w:rsidRP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 the centre line of the eye is central with the threaded portion.</w:t>
      </w:r>
    </w:p>
    <w:p w14:paraId="13EA6008" w14:textId="19614361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3629823" w14:textId="38733D86" w:rsidR="00517611" w:rsidRDefault="00517611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80C0A1B" w14:textId="40EC9223" w:rsidR="00517611" w:rsidRDefault="00517611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EAF2ADF" w14:textId="310C84E7" w:rsidR="00517611" w:rsidRDefault="00517611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17611" w14:paraId="1CB40897" w14:textId="77777777" w:rsidTr="00773629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3B89EE1" w14:textId="77777777" w:rsidR="00517611" w:rsidRDefault="00517611" w:rsidP="00BD5A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Hooks and Eyebolts:</w:t>
            </w:r>
          </w:p>
        </w:tc>
      </w:tr>
    </w:tbl>
    <w:p w14:paraId="41BA3D15" w14:textId="1F5319D7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 xml:space="preserve">Check both hooks and eyebolts carefully for cracks, cuts, </w:t>
      </w:r>
      <w:r w:rsidR="001817A6">
        <w:rPr>
          <w:rFonts w:ascii="Tahoma" w:hAnsi="Tahoma" w:cs="Tahoma"/>
          <w:sz w:val="20"/>
          <w:szCs w:val="20"/>
        </w:rPr>
        <w:t>dents,</w:t>
      </w:r>
      <w:r>
        <w:rPr>
          <w:rFonts w:ascii="Tahoma" w:hAnsi="Tahoma" w:cs="Tahoma"/>
          <w:sz w:val="20"/>
          <w:szCs w:val="20"/>
        </w:rPr>
        <w:t xml:space="preserve"> and corrosion pits.</w:t>
      </w:r>
    </w:p>
    <w:p w14:paraId="20C61942" w14:textId="270E2CC9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Swivel hooks should rotate freely.</w:t>
      </w:r>
    </w:p>
    <w:p w14:paraId="6AC3CF84" w14:textId="4B035DF6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Always make sure that safety catches operate freely.</w:t>
      </w:r>
    </w:p>
    <w:p w14:paraId="5B388680" w14:textId="228CB811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B7E164E" w14:textId="061753CC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69B55DD" wp14:editId="14FAB22B">
            <wp:extent cx="10953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 w:rsidR="00191D4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C2232D2" wp14:editId="4D1C5098">
            <wp:extent cx="11049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 w:rsidR="00191D4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E76BA36" wp14:editId="67595B45">
            <wp:extent cx="877829" cy="110311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23" cy="11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 w:rsidR="00191D46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604F781" wp14:editId="44639366">
            <wp:extent cx="1101725" cy="1101725"/>
            <wp:effectExtent l="0" t="0" r="317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2814" w14:textId="4060D4C0" w:rsidR="00517611" w:rsidRDefault="00517611" w:rsidP="00517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8B01267" wp14:editId="3626C645">
            <wp:extent cx="4664075" cy="1306195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6E3B" w14:textId="58EC7DAA" w:rsidR="00517611" w:rsidRDefault="00517611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4EE014C4" wp14:editId="013E9526">
            <wp:extent cx="2371725" cy="911225"/>
            <wp:effectExtent l="0" t="0" r="952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52" cy="9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49836A16" wp14:editId="7D103009">
            <wp:extent cx="2209800" cy="8909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72" cy="9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B8B5" w14:textId="54C39D71" w:rsidR="00B91F5B" w:rsidRDefault="00B91F5B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F7BDFE6" w14:textId="3B287D2F" w:rsidR="00B91F5B" w:rsidRPr="00773629" w:rsidRDefault="00B91F5B" w:rsidP="00FE000A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1B573C88" w14:textId="7CB9F9AE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05AC84F8" w14:textId="7C40C65F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What information will the lift plan give you?</w:t>
      </w:r>
    </w:p>
    <w:p w14:paraId="5C0730B5" w14:textId="0BC3E036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What must you check before using a sling?</w:t>
      </w:r>
    </w:p>
    <w:p w14:paraId="747D2971" w14:textId="5A3CA6F1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What happens if you double a sling around a shackle?</w:t>
      </w:r>
    </w:p>
    <w:p w14:paraId="63DD55DF" w14:textId="737678A4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What should you check on a shackle before use?</w:t>
      </w:r>
    </w:p>
    <w:p w14:paraId="22FF1AD9" w14:textId="5E4AC0FA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What checks should be carried out on hooks and eyebolts before use?</w:t>
      </w:r>
    </w:p>
    <w:p w14:paraId="74DA2902" w14:textId="7A65F677" w:rsidR="00B91F5B" w:rsidRPr="00773629" w:rsidRDefault="00B91F5B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773629">
        <w:rPr>
          <w:rFonts w:ascii="Tahoma" w:hAnsi="Tahoma" w:cs="Tahoma"/>
          <w:color w:val="ED7D31" w:themeColor="accent2"/>
          <w:sz w:val="20"/>
          <w:szCs w:val="20"/>
        </w:rPr>
        <w:t>Name 2 things you must not do when using chains?</w:t>
      </w:r>
    </w:p>
    <w:p w14:paraId="34AD3A07" w14:textId="77777777" w:rsidR="00B91F5B" w:rsidRPr="00B91F5B" w:rsidRDefault="00B91F5B" w:rsidP="00FE000A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sectPr w:rsidR="00B91F5B" w:rsidRPr="00B91F5B" w:rsidSect="00063DFD">
      <w:headerReference w:type="defaul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A8BD" w14:textId="77777777" w:rsidR="00F74A32" w:rsidRDefault="00F74A32" w:rsidP="00063DFD">
      <w:pPr>
        <w:spacing w:after="0" w:line="240" w:lineRule="auto"/>
      </w:pPr>
      <w:r>
        <w:separator/>
      </w:r>
    </w:p>
  </w:endnote>
  <w:endnote w:type="continuationSeparator" w:id="0">
    <w:p w14:paraId="2BE388E7" w14:textId="77777777" w:rsidR="00F74A32" w:rsidRDefault="00F74A32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C00F" w14:textId="77777777" w:rsidR="00F74A32" w:rsidRDefault="00F74A32" w:rsidP="00063DFD">
      <w:pPr>
        <w:spacing w:after="0" w:line="240" w:lineRule="auto"/>
      </w:pPr>
      <w:r>
        <w:separator/>
      </w:r>
    </w:p>
  </w:footnote>
  <w:footnote w:type="continuationSeparator" w:id="0">
    <w:p w14:paraId="6168116A" w14:textId="77777777" w:rsidR="00F74A32" w:rsidRDefault="00F74A32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0D903A1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59C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LIFTING EQUIPMENT &amp; ACCESSORIES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B54F2A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A357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C014LEA</w:t>
    </w:r>
    <w:r w:rsidR="003A357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260B"/>
    <w:multiLevelType w:val="hybridMultilevel"/>
    <w:tmpl w:val="E1C25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46DF3"/>
    <w:rsid w:val="00165602"/>
    <w:rsid w:val="00174140"/>
    <w:rsid w:val="001817A6"/>
    <w:rsid w:val="00191D46"/>
    <w:rsid w:val="001A416D"/>
    <w:rsid w:val="001B3F0A"/>
    <w:rsid w:val="001D4162"/>
    <w:rsid w:val="00220060"/>
    <w:rsid w:val="00221D23"/>
    <w:rsid w:val="00246E7C"/>
    <w:rsid w:val="00252A4D"/>
    <w:rsid w:val="00283665"/>
    <w:rsid w:val="002B6D2F"/>
    <w:rsid w:val="002D765C"/>
    <w:rsid w:val="003022D8"/>
    <w:rsid w:val="003036D2"/>
    <w:rsid w:val="003231E5"/>
    <w:rsid w:val="003348F4"/>
    <w:rsid w:val="003446E0"/>
    <w:rsid w:val="003550C8"/>
    <w:rsid w:val="0037459C"/>
    <w:rsid w:val="003A3578"/>
    <w:rsid w:val="003B232F"/>
    <w:rsid w:val="003C120B"/>
    <w:rsid w:val="003C6928"/>
    <w:rsid w:val="003C6AAD"/>
    <w:rsid w:val="003E4F0C"/>
    <w:rsid w:val="00404C79"/>
    <w:rsid w:val="00435FDC"/>
    <w:rsid w:val="0044107F"/>
    <w:rsid w:val="0044214C"/>
    <w:rsid w:val="004A1D7A"/>
    <w:rsid w:val="005049F1"/>
    <w:rsid w:val="00507EE7"/>
    <w:rsid w:val="00517611"/>
    <w:rsid w:val="0055514D"/>
    <w:rsid w:val="00560400"/>
    <w:rsid w:val="006769B4"/>
    <w:rsid w:val="006932C8"/>
    <w:rsid w:val="006C1C1F"/>
    <w:rsid w:val="006D1615"/>
    <w:rsid w:val="006D4DE2"/>
    <w:rsid w:val="00703DD2"/>
    <w:rsid w:val="0071099E"/>
    <w:rsid w:val="00732E22"/>
    <w:rsid w:val="00737807"/>
    <w:rsid w:val="00746DA8"/>
    <w:rsid w:val="007545CF"/>
    <w:rsid w:val="00765908"/>
    <w:rsid w:val="00773629"/>
    <w:rsid w:val="0077538E"/>
    <w:rsid w:val="007A3CD3"/>
    <w:rsid w:val="007B46A0"/>
    <w:rsid w:val="007C6DD7"/>
    <w:rsid w:val="007D08F4"/>
    <w:rsid w:val="007E3E2A"/>
    <w:rsid w:val="008125DC"/>
    <w:rsid w:val="00812C8C"/>
    <w:rsid w:val="008F6222"/>
    <w:rsid w:val="009003EB"/>
    <w:rsid w:val="00902E0C"/>
    <w:rsid w:val="0097709C"/>
    <w:rsid w:val="009B0737"/>
    <w:rsid w:val="009F2EF9"/>
    <w:rsid w:val="00A21250"/>
    <w:rsid w:val="00A21A48"/>
    <w:rsid w:val="00A44012"/>
    <w:rsid w:val="00A66669"/>
    <w:rsid w:val="00A8076A"/>
    <w:rsid w:val="00A839D5"/>
    <w:rsid w:val="00AB333B"/>
    <w:rsid w:val="00B02428"/>
    <w:rsid w:val="00B04692"/>
    <w:rsid w:val="00B54F2A"/>
    <w:rsid w:val="00B91F5B"/>
    <w:rsid w:val="00B9398F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2AD6"/>
    <w:rsid w:val="00DC766B"/>
    <w:rsid w:val="00DD274C"/>
    <w:rsid w:val="00E63C05"/>
    <w:rsid w:val="00E8750E"/>
    <w:rsid w:val="00ED6C15"/>
    <w:rsid w:val="00F051E9"/>
    <w:rsid w:val="00F45B1F"/>
    <w:rsid w:val="00F46356"/>
    <w:rsid w:val="00F74A32"/>
    <w:rsid w:val="00F75704"/>
    <w:rsid w:val="00F95DCE"/>
    <w:rsid w:val="00FC0B48"/>
    <w:rsid w:val="00FC1828"/>
    <w:rsid w:val="00FE000A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7</cp:revision>
  <dcterms:created xsi:type="dcterms:W3CDTF">2021-05-17T14:32:00Z</dcterms:created>
  <dcterms:modified xsi:type="dcterms:W3CDTF">2021-05-18T15:56:00Z</dcterms:modified>
</cp:coreProperties>
</file>