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D7FE" w14:textId="468082E2" w:rsidR="00091E6B" w:rsidRDefault="00091E6B" w:rsidP="00457F19">
      <w:pPr>
        <w:spacing w:after="0"/>
      </w:pPr>
    </w:p>
    <w:tbl>
      <w:tblPr>
        <w:tblStyle w:val="TableGrid"/>
        <w:tblW w:w="0" w:type="auto"/>
        <w:tblLook w:val="04A0" w:firstRow="1" w:lastRow="0" w:firstColumn="1" w:lastColumn="0" w:noHBand="0" w:noVBand="1"/>
      </w:tblPr>
      <w:tblGrid>
        <w:gridCol w:w="1271"/>
        <w:gridCol w:w="6064"/>
      </w:tblGrid>
      <w:tr w:rsidR="00457F19" w:rsidRPr="003550C8" w14:paraId="5D10566E" w14:textId="77777777" w:rsidTr="00127058">
        <w:tc>
          <w:tcPr>
            <w:tcW w:w="1271" w:type="dxa"/>
            <w:shd w:val="clear" w:color="auto" w:fill="F4B083" w:themeFill="accent2" w:themeFillTint="99"/>
          </w:tcPr>
          <w:p w14:paraId="23B4D668" w14:textId="77777777" w:rsidR="00457F19" w:rsidRPr="003550C8" w:rsidRDefault="00457F19" w:rsidP="00457F19">
            <w:pPr>
              <w:rPr>
                <w:rFonts w:ascii="Tahoma" w:hAnsi="Tahoma" w:cs="Tahoma"/>
                <w:sz w:val="20"/>
                <w:szCs w:val="20"/>
              </w:rPr>
            </w:pPr>
            <w:r w:rsidRPr="003550C8">
              <w:rPr>
                <w:rFonts w:ascii="Tahoma" w:hAnsi="Tahoma" w:cs="Tahoma"/>
                <w:sz w:val="20"/>
                <w:szCs w:val="20"/>
              </w:rPr>
              <w:t>Reason:</w:t>
            </w:r>
          </w:p>
        </w:tc>
        <w:tc>
          <w:tcPr>
            <w:tcW w:w="6064" w:type="dxa"/>
          </w:tcPr>
          <w:p w14:paraId="6B920D2D" w14:textId="2A26935B" w:rsidR="00457F19" w:rsidRPr="003550C8" w:rsidRDefault="00BF0A14" w:rsidP="00457F19">
            <w:pPr>
              <w:jc w:val="both"/>
              <w:rPr>
                <w:rFonts w:ascii="Tahoma" w:hAnsi="Tahoma" w:cs="Tahoma"/>
                <w:sz w:val="20"/>
                <w:szCs w:val="20"/>
              </w:rPr>
            </w:pPr>
            <w:r>
              <w:rPr>
                <w:rFonts w:ascii="Tahoma" w:hAnsi="Tahoma" w:cs="Tahoma"/>
                <w:sz w:val="20"/>
                <w:szCs w:val="20"/>
              </w:rPr>
              <w:t>The amount of plant operating on most sites will generally require the storage and use of large quantities of fuel, which creates hazards. By being aware of the risks, the chance of an accident occurring can be reduced or eliminated.</w:t>
            </w:r>
            <w:r w:rsidR="00457F19">
              <w:rPr>
                <w:rFonts w:ascii="Tahoma" w:hAnsi="Tahoma" w:cs="Tahoma"/>
                <w:sz w:val="20"/>
                <w:szCs w:val="20"/>
              </w:rPr>
              <w:t xml:space="preserve"> </w:t>
            </w:r>
          </w:p>
        </w:tc>
      </w:tr>
      <w:tr w:rsidR="00457F19" w:rsidRPr="003550C8" w14:paraId="66A0A99F" w14:textId="77777777" w:rsidTr="00127058">
        <w:tc>
          <w:tcPr>
            <w:tcW w:w="1271" w:type="dxa"/>
            <w:shd w:val="clear" w:color="auto" w:fill="F4B083" w:themeFill="accent2" w:themeFillTint="99"/>
          </w:tcPr>
          <w:p w14:paraId="56D0A721" w14:textId="77777777" w:rsidR="00457F19" w:rsidRPr="003550C8" w:rsidRDefault="00457F19" w:rsidP="00457F19">
            <w:pPr>
              <w:rPr>
                <w:rFonts w:ascii="Tahoma" w:hAnsi="Tahoma" w:cs="Tahoma"/>
                <w:sz w:val="20"/>
                <w:szCs w:val="20"/>
              </w:rPr>
            </w:pPr>
            <w:r w:rsidRPr="003550C8">
              <w:rPr>
                <w:rFonts w:ascii="Tahoma" w:hAnsi="Tahoma" w:cs="Tahoma"/>
                <w:sz w:val="20"/>
                <w:szCs w:val="20"/>
              </w:rPr>
              <w:t>Outline:</w:t>
            </w:r>
          </w:p>
        </w:tc>
        <w:tc>
          <w:tcPr>
            <w:tcW w:w="6064" w:type="dxa"/>
          </w:tcPr>
          <w:p w14:paraId="1DA88FC8" w14:textId="2EC95D7B" w:rsidR="00457F19" w:rsidRPr="003550C8" w:rsidRDefault="00457F19" w:rsidP="00457F19">
            <w:pPr>
              <w:jc w:val="both"/>
              <w:rPr>
                <w:rFonts w:ascii="Tahoma" w:hAnsi="Tahoma" w:cs="Tahoma"/>
                <w:sz w:val="20"/>
                <w:szCs w:val="20"/>
              </w:rPr>
            </w:pPr>
            <w:r w:rsidRPr="003550C8">
              <w:rPr>
                <w:rFonts w:ascii="Tahoma" w:hAnsi="Tahoma" w:cs="Tahoma"/>
                <w:sz w:val="20"/>
                <w:szCs w:val="20"/>
              </w:rPr>
              <w:t xml:space="preserve">This talk covers </w:t>
            </w:r>
            <w:r w:rsidR="00BF0A14">
              <w:rPr>
                <w:rFonts w:ascii="Tahoma" w:hAnsi="Tahoma" w:cs="Tahoma"/>
                <w:sz w:val="20"/>
                <w:szCs w:val="20"/>
              </w:rPr>
              <w:t>the hazards created by different fuels and the precautions necessary.</w:t>
            </w:r>
          </w:p>
        </w:tc>
      </w:tr>
    </w:tbl>
    <w:p w14:paraId="4B29F550" w14:textId="352137ED" w:rsidR="00457F19" w:rsidRDefault="00457F19" w:rsidP="00457F19">
      <w:pPr>
        <w:spacing w:after="0"/>
        <w:rPr>
          <w:rFonts w:ascii="Tahoma" w:hAnsi="Tahoma" w:cs="Tahoma"/>
          <w:sz w:val="20"/>
          <w:szCs w:val="20"/>
        </w:rPr>
      </w:pPr>
    </w:p>
    <w:tbl>
      <w:tblPr>
        <w:tblStyle w:val="TableGrid"/>
        <w:tblW w:w="0" w:type="auto"/>
        <w:shd w:val="clear" w:color="auto" w:fill="F4B083" w:themeFill="accent2" w:themeFillTint="99"/>
        <w:tblLook w:val="04A0" w:firstRow="1" w:lastRow="0" w:firstColumn="1" w:lastColumn="0" w:noHBand="0" w:noVBand="1"/>
      </w:tblPr>
      <w:tblGrid>
        <w:gridCol w:w="7335"/>
      </w:tblGrid>
      <w:tr w:rsidR="00B17B75" w14:paraId="2ABFA804" w14:textId="77777777" w:rsidTr="00127058">
        <w:tc>
          <w:tcPr>
            <w:tcW w:w="7335" w:type="dxa"/>
            <w:tcBorders>
              <w:top w:val="nil"/>
              <w:left w:val="nil"/>
              <w:bottom w:val="nil"/>
              <w:right w:val="nil"/>
            </w:tcBorders>
            <w:shd w:val="clear" w:color="auto" w:fill="F4B083" w:themeFill="accent2" w:themeFillTint="99"/>
          </w:tcPr>
          <w:p w14:paraId="4513FC37" w14:textId="0EFDE8BF" w:rsidR="00B17B75" w:rsidRDefault="00B17B75" w:rsidP="00457F19">
            <w:pPr>
              <w:rPr>
                <w:rFonts w:ascii="Tahoma" w:hAnsi="Tahoma" w:cs="Tahoma"/>
                <w:sz w:val="20"/>
                <w:szCs w:val="20"/>
              </w:rPr>
            </w:pPr>
            <w:r>
              <w:rPr>
                <w:rFonts w:ascii="Tahoma" w:hAnsi="Tahoma" w:cs="Tahoma"/>
                <w:sz w:val="20"/>
                <w:szCs w:val="20"/>
              </w:rPr>
              <w:t>Use and Storage:</w:t>
            </w:r>
          </w:p>
        </w:tc>
      </w:tr>
    </w:tbl>
    <w:p w14:paraId="566B4767" w14:textId="67751ECB" w:rsidR="00B17B75" w:rsidRDefault="00B17B75" w:rsidP="00457F19">
      <w:pPr>
        <w:spacing w:after="0"/>
        <w:rPr>
          <w:rFonts w:ascii="Tahoma" w:hAnsi="Tahoma" w:cs="Tahoma"/>
          <w:sz w:val="20"/>
          <w:szCs w:val="20"/>
        </w:rPr>
      </w:pPr>
      <w:r>
        <w:rPr>
          <w:rFonts w:ascii="Tahoma" w:hAnsi="Tahoma" w:cs="Tahoma"/>
          <w:sz w:val="20"/>
          <w:szCs w:val="20"/>
        </w:rPr>
        <w:sym w:font="Wingdings 2" w:char="F075"/>
      </w:r>
      <w:r>
        <w:rPr>
          <w:rFonts w:ascii="Tahoma" w:hAnsi="Tahoma" w:cs="Tahoma"/>
          <w:sz w:val="20"/>
          <w:szCs w:val="20"/>
        </w:rPr>
        <w:t xml:space="preserve">The most commonly found fuels on site are diesel and petrol (for engines), oil (for gearboxes) and moulds, hydraulic </w:t>
      </w:r>
      <w:r w:rsidR="00A421B3">
        <w:rPr>
          <w:rFonts w:ascii="Tahoma" w:hAnsi="Tahoma" w:cs="Tahoma"/>
          <w:sz w:val="20"/>
          <w:szCs w:val="20"/>
        </w:rPr>
        <w:t>fluid,</w:t>
      </w:r>
      <w:r>
        <w:rPr>
          <w:rFonts w:ascii="Tahoma" w:hAnsi="Tahoma" w:cs="Tahoma"/>
          <w:sz w:val="20"/>
          <w:szCs w:val="20"/>
        </w:rPr>
        <w:t xml:space="preserve"> and grease.</w:t>
      </w:r>
    </w:p>
    <w:p w14:paraId="2BC77CF0" w14:textId="42C99C7D" w:rsidR="00B17B75" w:rsidRDefault="00B17B75" w:rsidP="00457F19">
      <w:pPr>
        <w:spacing w:after="0"/>
        <w:rPr>
          <w:rFonts w:ascii="Tahoma" w:hAnsi="Tahoma" w:cs="Tahoma"/>
          <w:sz w:val="20"/>
          <w:szCs w:val="20"/>
        </w:rPr>
      </w:pPr>
      <w:r>
        <w:rPr>
          <w:rFonts w:ascii="Tahoma" w:hAnsi="Tahoma" w:cs="Tahoma"/>
          <w:sz w:val="20"/>
          <w:szCs w:val="20"/>
        </w:rPr>
        <w:sym w:font="Wingdings 2" w:char="F076"/>
      </w:r>
      <w:r>
        <w:rPr>
          <w:rFonts w:ascii="Tahoma" w:hAnsi="Tahoma" w:cs="Tahoma"/>
          <w:sz w:val="20"/>
          <w:szCs w:val="20"/>
        </w:rPr>
        <w:t>Poor storage, lack of care during refuelling, vandalism and poorly maintained plant can all result in spillage.</w:t>
      </w:r>
    </w:p>
    <w:p w14:paraId="7C14DF84" w14:textId="30874718" w:rsidR="00B17B75" w:rsidRDefault="00B17B75" w:rsidP="00457F19">
      <w:pPr>
        <w:spacing w:after="0"/>
        <w:rPr>
          <w:rFonts w:ascii="Tahoma" w:hAnsi="Tahoma" w:cs="Tahoma"/>
          <w:sz w:val="20"/>
          <w:szCs w:val="20"/>
        </w:rPr>
      </w:pPr>
      <w:r>
        <w:rPr>
          <w:rFonts w:ascii="Tahoma" w:hAnsi="Tahoma" w:cs="Tahoma"/>
          <w:sz w:val="20"/>
          <w:szCs w:val="20"/>
        </w:rPr>
        <w:sym w:font="Wingdings 2" w:char="F077"/>
      </w:r>
      <w:r>
        <w:rPr>
          <w:rFonts w:ascii="Tahoma" w:hAnsi="Tahoma" w:cs="Tahoma"/>
          <w:sz w:val="20"/>
          <w:szCs w:val="20"/>
        </w:rPr>
        <w:t xml:space="preserve">Even a small spill can cause damage to the environment and cause harm to animals, plants, </w:t>
      </w:r>
      <w:r w:rsidR="00A421B3">
        <w:rPr>
          <w:rFonts w:ascii="Tahoma" w:hAnsi="Tahoma" w:cs="Tahoma"/>
          <w:sz w:val="20"/>
          <w:szCs w:val="20"/>
        </w:rPr>
        <w:t>fish,</w:t>
      </w:r>
      <w:r>
        <w:rPr>
          <w:rFonts w:ascii="Tahoma" w:hAnsi="Tahoma" w:cs="Tahoma"/>
          <w:sz w:val="20"/>
          <w:szCs w:val="20"/>
        </w:rPr>
        <w:t xml:space="preserve"> and humans, as well as contaminating watercourses and groundwater.</w:t>
      </w:r>
    </w:p>
    <w:p w14:paraId="75F2EDA1" w14:textId="7D957CAD" w:rsidR="00B17B75" w:rsidRDefault="00B17B75" w:rsidP="00457F19">
      <w:pPr>
        <w:spacing w:after="0"/>
        <w:rPr>
          <w:rFonts w:ascii="Tahoma" w:hAnsi="Tahoma" w:cs="Tahoma"/>
          <w:sz w:val="20"/>
          <w:szCs w:val="20"/>
        </w:rPr>
      </w:pPr>
      <w:r>
        <w:rPr>
          <w:rFonts w:ascii="Tahoma" w:hAnsi="Tahoma" w:cs="Tahoma"/>
          <w:sz w:val="20"/>
          <w:szCs w:val="20"/>
        </w:rPr>
        <w:sym w:font="Wingdings 2" w:char="F078"/>
      </w:r>
      <w:r>
        <w:rPr>
          <w:rFonts w:ascii="Tahoma" w:hAnsi="Tahoma" w:cs="Tahoma"/>
          <w:sz w:val="20"/>
          <w:szCs w:val="20"/>
        </w:rPr>
        <w:t>A spillage is likely to be expensive to clean up and there is the likelihood of prosecution and a large fine.</w:t>
      </w:r>
    </w:p>
    <w:p w14:paraId="3AEC323A" w14:textId="65BD34CB" w:rsidR="00F11D5A" w:rsidRPr="00F11D5A" w:rsidRDefault="00F11D5A" w:rsidP="00F11D5A">
      <w:pPr>
        <w:spacing w:after="0"/>
        <w:jc w:val="both"/>
        <w:rPr>
          <w:rFonts w:ascii="Tahoma" w:hAnsi="Tahoma" w:cs="Tahoma"/>
          <w:sz w:val="20"/>
          <w:szCs w:val="20"/>
        </w:rPr>
      </w:pPr>
      <w:r>
        <w:rPr>
          <w:rFonts w:ascii="Tahoma" w:hAnsi="Tahoma" w:cs="Tahoma"/>
          <w:sz w:val="20"/>
          <w:szCs w:val="20"/>
        </w:rPr>
        <w:sym w:font="Wingdings 2" w:char="F079"/>
      </w:r>
      <w:r w:rsidRPr="00F11D5A">
        <w:rPr>
          <w:rFonts w:ascii="Tahoma" w:hAnsi="Tahoma" w:cs="Tahoma"/>
          <w:sz w:val="20"/>
          <w:szCs w:val="20"/>
        </w:rPr>
        <w:t>Storage areas must be secure, well ventilated, and away from sources of ignition.</w:t>
      </w:r>
    </w:p>
    <w:p w14:paraId="6ADCFD3E" w14:textId="77777777" w:rsidR="00F11D5A" w:rsidRDefault="00F11D5A" w:rsidP="00457F19">
      <w:pPr>
        <w:spacing w:after="0"/>
        <w:rPr>
          <w:rFonts w:ascii="Tahoma" w:hAnsi="Tahoma" w:cs="Tahoma"/>
          <w:sz w:val="20"/>
          <w:szCs w:val="20"/>
        </w:rPr>
      </w:pPr>
    </w:p>
    <w:p w14:paraId="2F79C6E6" w14:textId="41FE9A32" w:rsidR="00B17B75" w:rsidRDefault="00B17B75" w:rsidP="00B17B75">
      <w:pPr>
        <w:spacing w:after="0"/>
        <w:jc w:val="center"/>
        <w:rPr>
          <w:noProof/>
        </w:rPr>
      </w:pPr>
      <w:r>
        <w:rPr>
          <w:noProof/>
        </w:rPr>
        <w:drawing>
          <wp:inline distT="0" distB="0" distL="0" distR="0" wp14:anchorId="25EE8BB4" wp14:editId="1EC71FCB">
            <wp:extent cx="1664797"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861" cy="1209568"/>
                    </a:xfrm>
                    <a:prstGeom prst="rect">
                      <a:avLst/>
                    </a:prstGeom>
                    <a:noFill/>
                    <a:ln>
                      <a:noFill/>
                    </a:ln>
                  </pic:spPr>
                </pic:pic>
              </a:graphicData>
            </a:graphic>
          </wp:inline>
        </w:drawing>
      </w:r>
      <w:r>
        <w:rPr>
          <w:noProof/>
        </w:rPr>
        <w:t xml:space="preserve">   </w:t>
      </w:r>
      <w:r>
        <w:rPr>
          <w:noProof/>
        </w:rPr>
        <w:drawing>
          <wp:inline distT="0" distB="0" distL="0" distR="0" wp14:anchorId="7F905946" wp14:editId="36AA4810">
            <wp:extent cx="1200150"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noProof/>
        </w:rPr>
        <w:drawing>
          <wp:inline distT="0" distB="0" distL="0" distR="0" wp14:anchorId="01D80D28" wp14:editId="41AB8BD7">
            <wp:extent cx="1196975" cy="119697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975" cy="1196975"/>
                    </a:xfrm>
                    <a:prstGeom prst="rect">
                      <a:avLst/>
                    </a:prstGeom>
                    <a:noFill/>
                    <a:ln>
                      <a:noFill/>
                    </a:ln>
                  </pic:spPr>
                </pic:pic>
              </a:graphicData>
            </a:graphic>
          </wp:inline>
        </w:drawing>
      </w:r>
    </w:p>
    <w:tbl>
      <w:tblPr>
        <w:tblStyle w:val="TableGrid"/>
        <w:tblW w:w="0" w:type="auto"/>
        <w:shd w:val="clear" w:color="auto" w:fill="F4B083" w:themeFill="accent2" w:themeFillTint="99"/>
        <w:tblLook w:val="04A0" w:firstRow="1" w:lastRow="0" w:firstColumn="1" w:lastColumn="0" w:noHBand="0" w:noVBand="1"/>
      </w:tblPr>
      <w:tblGrid>
        <w:gridCol w:w="7335"/>
      </w:tblGrid>
      <w:tr w:rsidR="00B17B75" w14:paraId="4221CCF9" w14:textId="77777777" w:rsidTr="00127058">
        <w:tc>
          <w:tcPr>
            <w:tcW w:w="7335" w:type="dxa"/>
            <w:tcBorders>
              <w:top w:val="nil"/>
              <w:left w:val="nil"/>
              <w:bottom w:val="nil"/>
              <w:right w:val="nil"/>
            </w:tcBorders>
            <w:shd w:val="clear" w:color="auto" w:fill="F4B083" w:themeFill="accent2" w:themeFillTint="99"/>
          </w:tcPr>
          <w:p w14:paraId="2CDD5565" w14:textId="6737BAED" w:rsidR="00B17B75" w:rsidRDefault="00B17B75" w:rsidP="00B17B75">
            <w:pPr>
              <w:jc w:val="both"/>
              <w:rPr>
                <w:rFonts w:ascii="Tahoma" w:hAnsi="Tahoma" w:cs="Tahoma"/>
                <w:sz w:val="20"/>
                <w:szCs w:val="20"/>
              </w:rPr>
            </w:pPr>
            <w:r>
              <w:rPr>
                <w:rFonts w:ascii="Tahoma" w:hAnsi="Tahoma" w:cs="Tahoma"/>
                <w:sz w:val="20"/>
                <w:szCs w:val="20"/>
              </w:rPr>
              <w:t>Control Measures:</w:t>
            </w:r>
          </w:p>
        </w:tc>
      </w:tr>
    </w:tbl>
    <w:p w14:paraId="073CAE07" w14:textId="64540B0F" w:rsidR="00B17B75" w:rsidRDefault="00574191" w:rsidP="00B17B75">
      <w:pPr>
        <w:spacing w:after="0"/>
        <w:jc w:val="both"/>
        <w:rPr>
          <w:rFonts w:ascii="Tahoma" w:hAnsi="Tahoma" w:cs="Tahoma"/>
          <w:sz w:val="20"/>
          <w:szCs w:val="20"/>
        </w:rPr>
      </w:pPr>
      <w:r>
        <w:rPr>
          <w:rFonts w:ascii="Tahoma" w:hAnsi="Tahoma" w:cs="Tahoma"/>
          <w:sz w:val="20"/>
          <w:szCs w:val="20"/>
        </w:rPr>
        <w:sym w:font="Wingdings 2" w:char="F075"/>
      </w:r>
      <w:r w:rsidR="00B17B75">
        <w:rPr>
          <w:rFonts w:ascii="Tahoma" w:hAnsi="Tahoma" w:cs="Tahoma"/>
          <w:sz w:val="20"/>
          <w:szCs w:val="20"/>
        </w:rPr>
        <w:t>Ensure that bulk fuel and oil storage tanks are bunded with a capacity of 110% and kept secure (locked when not in use) and checked regularly.</w:t>
      </w:r>
    </w:p>
    <w:p w14:paraId="65BE7E29" w14:textId="07393AC2" w:rsidR="00B17B75" w:rsidRDefault="00574191" w:rsidP="00457F19">
      <w:pPr>
        <w:spacing w:after="0"/>
        <w:rPr>
          <w:rFonts w:ascii="Tahoma" w:hAnsi="Tahoma" w:cs="Tahoma"/>
          <w:sz w:val="20"/>
          <w:szCs w:val="20"/>
        </w:rPr>
      </w:pPr>
      <w:r>
        <w:rPr>
          <w:rFonts w:ascii="Tahoma" w:hAnsi="Tahoma" w:cs="Tahoma"/>
          <w:sz w:val="20"/>
          <w:szCs w:val="20"/>
        </w:rPr>
        <w:sym w:font="Wingdings 2" w:char="F076"/>
      </w:r>
      <w:r w:rsidR="00B17B75">
        <w:rPr>
          <w:rFonts w:ascii="Tahoma" w:hAnsi="Tahoma" w:cs="Tahoma"/>
          <w:sz w:val="20"/>
          <w:szCs w:val="20"/>
        </w:rPr>
        <w:t>All containers should be stored in secure, bunded areas with a capacity of at least 25% more than the total volume of the containers.</w:t>
      </w:r>
    </w:p>
    <w:p w14:paraId="639E4A68" w14:textId="398FE511" w:rsidR="00B17B75" w:rsidRDefault="00574191" w:rsidP="00457F19">
      <w:pPr>
        <w:spacing w:after="0"/>
        <w:rPr>
          <w:rFonts w:ascii="Tahoma" w:hAnsi="Tahoma" w:cs="Tahoma"/>
          <w:sz w:val="20"/>
          <w:szCs w:val="20"/>
        </w:rPr>
      </w:pPr>
      <w:r>
        <w:rPr>
          <w:rFonts w:ascii="Tahoma" w:hAnsi="Tahoma" w:cs="Tahoma"/>
          <w:sz w:val="20"/>
          <w:szCs w:val="20"/>
        </w:rPr>
        <w:sym w:font="Wingdings 2" w:char="F077"/>
      </w:r>
      <w:r w:rsidR="00B17B75">
        <w:rPr>
          <w:rFonts w:ascii="Tahoma" w:hAnsi="Tahoma" w:cs="Tahoma"/>
          <w:sz w:val="20"/>
          <w:szCs w:val="20"/>
        </w:rPr>
        <w:t>Refuelling should be carried out by authorised people in controlled areas, where possible, and drip trays or absorbent mats placed under static plant.</w:t>
      </w:r>
    </w:p>
    <w:p w14:paraId="4C466E26" w14:textId="605386AE" w:rsidR="00B17B75" w:rsidRDefault="00574191" w:rsidP="00457F19">
      <w:pPr>
        <w:spacing w:after="0"/>
        <w:rPr>
          <w:rFonts w:ascii="Tahoma" w:hAnsi="Tahoma" w:cs="Tahoma"/>
          <w:sz w:val="20"/>
          <w:szCs w:val="20"/>
        </w:rPr>
      </w:pPr>
      <w:r>
        <w:rPr>
          <w:rFonts w:ascii="Tahoma" w:hAnsi="Tahoma" w:cs="Tahoma"/>
          <w:sz w:val="20"/>
          <w:szCs w:val="20"/>
        </w:rPr>
        <w:sym w:font="Wingdings 2" w:char="F078"/>
      </w:r>
      <w:r w:rsidR="00B17B75">
        <w:rPr>
          <w:rFonts w:ascii="Tahoma" w:hAnsi="Tahoma" w:cs="Tahoma"/>
          <w:sz w:val="20"/>
          <w:szCs w:val="20"/>
        </w:rPr>
        <w:t>All fuel deliveries should be supervised.</w:t>
      </w:r>
    </w:p>
    <w:p w14:paraId="3556130E" w14:textId="7F62A251" w:rsidR="00B17B75" w:rsidRDefault="00574191" w:rsidP="00457F19">
      <w:pPr>
        <w:spacing w:after="0"/>
        <w:rPr>
          <w:rFonts w:ascii="Tahoma" w:hAnsi="Tahoma" w:cs="Tahoma"/>
          <w:sz w:val="20"/>
          <w:szCs w:val="20"/>
        </w:rPr>
      </w:pPr>
      <w:r>
        <w:rPr>
          <w:rFonts w:ascii="Tahoma" w:hAnsi="Tahoma" w:cs="Tahoma"/>
          <w:sz w:val="20"/>
          <w:szCs w:val="20"/>
        </w:rPr>
        <w:sym w:font="Wingdings 2" w:char="F079"/>
      </w:r>
      <w:r w:rsidR="00B17B75">
        <w:rPr>
          <w:rFonts w:ascii="Tahoma" w:hAnsi="Tahoma" w:cs="Tahoma"/>
          <w:sz w:val="20"/>
          <w:szCs w:val="20"/>
        </w:rPr>
        <w:t>Spill kits should be available near the refuelling operation and drain covers should be provided.</w:t>
      </w:r>
    </w:p>
    <w:p w14:paraId="48973147" w14:textId="77777777" w:rsidR="00F11D5A" w:rsidRDefault="00F11D5A" w:rsidP="00457F19">
      <w:pPr>
        <w:spacing w:after="0"/>
        <w:rPr>
          <w:rFonts w:ascii="Tahoma" w:hAnsi="Tahoma" w:cs="Tahoma"/>
          <w:sz w:val="20"/>
          <w:szCs w:val="20"/>
        </w:rPr>
      </w:pPr>
    </w:p>
    <w:p w14:paraId="050BC63B" w14:textId="269F4E9A" w:rsidR="00B17B75" w:rsidRDefault="00574191" w:rsidP="00457F19">
      <w:pPr>
        <w:spacing w:after="0"/>
        <w:rPr>
          <w:rFonts w:ascii="Tahoma" w:hAnsi="Tahoma" w:cs="Tahoma"/>
          <w:sz w:val="20"/>
          <w:szCs w:val="20"/>
        </w:rPr>
      </w:pPr>
      <w:r>
        <w:rPr>
          <w:rFonts w:ascii="Tahoma" w:hAnsi="Tahoma" w:cs="Tahoma"/>
          <w:sz w:val="20"/>
          <w:szCs w:val="20"/>
        </w:rPr>
        <w:sym w:font="Wingdings 2" w:char="F07A"/>
      </w:r>
      <w:r w:rsidR="00B17B75">
        <w:rPr>
          <w:rFonts w:ascii="Tahoma" w:hAnsi="Tahoma" w:cs="Tahoma"/>
          <w:sz w:val="20"/>
          <w:szCs w:val="20"/>
        </w:rPr>
        <w:t>Clear up minor spillages immediately and report</w:t>
      </w:r>
      <w:r>
        <w:rPr>
          <w:rFonts w:ascii="Tahoma" w:hAnsi="Tahoma" w:cs="Tahoma"/>
          <w:sz w:val="20"/>
          <w:szCs w:val="20"/>
        </w:rPr>
        <w:t xml:space="preserve"> the incident to management.</w:t>
      </w:r>
    </w:p>
    <w:p w14:paraId="4B9C237C" w14:textId="5764B62B" w:rsidR="00B17B75" w:rsidRPr="00BF0A14" w:rsidRDefault="00574191" w:rsidP="00457F19">
      <w:pPr>
        <w:spacing w:after="0"/>
        <w:rPr>
          <w:rFonts w:ascii="Tahoma" w:hAnsi="Tahoma" w:cs="Tahoma"/>
          <w:sz w:val="20"/>
          <w:szCs w:val="20"/>
        </w:rPr>
      </w:pPr>
      <w:r>
        <w:rPr>
          <w:rFonts w:ascii="Tahoma" w:hAnsi="Tahoma" w:cs="Tahoma"/>
          <w:sz w:val="20"/>
          <w:szCs w:val="20"/>
        </w:rPr>
        <w:sym w:font="Wingdings 2" w:char="F07B"/>
      </w:r>
      <w:r>
        <w:rPr>
          <w:rFonts w:ascii="Tahoma" w:hAnsi="Tahoma" w:cs="Tahoma"/>
          <w:sz w:val="20"/>
          <w:szCs w:val="20"/>
        </w:rPr>
        <w:t>Seek advice before attempting to dispose of fuels, oils and contaminated water or ground materials.</w:t>
      </w:r>
    </w:p>
    <w:tbl>
      <w:tblPr>
        <w:tblStyle w:val="TableGrid"/>
        <w:tblW w:w="0" w:type="auto"/>
        <w:shd w:val="clear" w:color="auto" w:fill="F4B083" w:themeFill="accent2" w:themeFillTint="99"/>
        <w:tblLook w:val="04A0" w:firstRow="1" w:lastRow="0" w:firstColumn="1" w:lastColumn="0" w:noHBand="0" w:noVBand="1"/>
      </w:tblPr>
      <w:tblGrid>
        <w:gridCol w:w="7335"/>
      </w:tblGrid>
      <w:tr w:rsidR="00BF0A14" w:rsidRPr="00BF0A14" w14:paraId="1E1D93FA" w14:textId="77777777" w:rsidTr="00127058">
        <w:tc>
          <w:tcPr>
            <w:tcW w:w="7335" w:type="dxa"/>
            <w:tcBorders>
              <w:top w:val="nil"/>
              <w:left w:val="nil"/>
              <w:bottom w:val="nil"/>
              <w:right w:val="nil"/>
            </w:tcBorders>
            <w:shd w:val="clear" w:color="auto" w:fill="F4B083" w:themeFill="accent2" w:themeFillTint="99"/>
          </w:tcPr>
          <w:p w14:paraId="2A0BB4A3" w14:textId="06AC8349" w:rsidR="00BF0A14" w:rsidRPr="00BF0A14" w:rsidRDefault="00BF0A14" w:rsidP="00457F19">
            <w:pPr>
              <w:rPr>
                <w:rFonts w:ascii="Tahoma" w:hAnsi="Tahoma" w:cs="Tahoma"/>
                <w:sz w:val="20"/>
                <w:szCs w:val="20"/>
              </w:rPr>
            </w:pPr>
            <w:r w:rsidRPr="00BF0A14">
              <w:rPr>
                <w:rFonts w:ascii="Tahoma" w:hAnsi="Tahoma" w:cs="Tahoma"/>
                <w:sz w:val="20"/>
                <w:szCs w:val="20"/>
              </w:rPr>
              <w:t>Petrol:</w:t>
            </w:r>
          </w:p>
        </w:tc>
      </w:tr>
    </w:tbl>
    <w:p w14:paraId="5F1CDF73" w14:textId="39B07E90" w:rsidR="00BF0A14" w:rsidRDefault="00FC0757" w:rsidP="00B429E1">
      <w:pPr>
        <w:spacing w:after="0"/>
        <w:jc w:val="both"/>
        <w:rPr>
          <w:rFonts w:ascii="Tahoma" w:hAnsi="Tahoma" w:cs="Tahoma"/>
          <w:sz w:val="20"/>
          <w:szCs w:val="20"/>
        </w:rPr>
      </w:pPr>
      <w:r>
        <w:rPr>
          <w:rFonts w:ascii="Tahoma" w:hAnsi="Tahoma" w:cs="Tahoma"/>
          <w:sz w:val="20"/>
          <w:szCs w:val="20"/>
        </w:rPr>
        <w:t xml:space="preserve">1. </w:t>
      </w:r>
      <w:r w:rsidR="00BF0A14">
        <w:rPr>
          <w:rFonts w:ascii="Tahoma" w:hAnsi="Tahoma" w:cs="Tahoma"/>
          <w:sz w:val="20"/>
          <w:szCs w:val="20"/>
        </w:rPr>
        <w:t>Usually, only small plant (such as disc-cutters &amp; chainsaws) now run on petrol.</w:t>
      </w:r>
    </w:p>
    <w:p w14:paraId="3F673C5E" w14:textId="72EC3659" w:rsidR="00BF0A14" w:rsidRDefault="00FC0757" w:rsidP="00B429E1">
      <w:pPr>
        <w:spacing w:after="0"/>
        <w:jc w:val="both"/>
        <w:rPr>
          <w:rFonts w:ascii="Tahoma" w:hAnsi="Tahoma" w:cs="Tahoma"/>
          <w:sz w:val="20"/>
          <w:szCs w:val="20"/>
        </w:rPr>
      </w:pPr>
      <w:r>
        <w:rPr>
          <w:rFonts w:ascii="Tahoma" w:hAnsi="Tahoma" w:cs="Tahoma"/>
          <w:sz w:val="20"/>
          <w:szCs w:val="20"/>
        </w:rPr>
        <w:t xml:space="preserve">2. </w:t>
      </w:r>
      <w:r w:rsidR="00BF0A14">
        <w:rPr>
          <w:rFonts w:ascii="Tahoma" w:hAnsi="Tahoma" w:cs="Tahoma"/>
          <w:sz w:val="20"/>
          <w:szCs w:val="20"/>
        </w:rPr>
        <w:t>Petrol fumes are highly flammable – only refuel plant in well ventilated areas.</w:t>
      </w:r>
    </w:p>
    <w:p w14:paraId="7FAA7F53" w14:textId="6E60F636" w:rsidR="00BF0A14" w:rsidRDefault="00FC0757" w:rsidP="00B429E1">
      <w:pPr>
        <w:spacing w:after="0"/>
        <w:jc w:val="both"/>
        <w:rPr>
          <w:rFonts w:ascii="Tahoma" w:hAnsi="Tahoma" w:cs="Tahoma"/>
          <w:sz w:val="20"/>
          <w:szCs w:val="20"/>
        </w:rPr>
      </w:pPr>
      <w:r>
        <w:rPr>
          <w:rFonts w:ascii="Tahoma" w:hAnsi="Tahoma" w:cs="Tahoma"/>
          <w:sz w:val="20"/>
          <w:szCs w:val="20"/>
        </w:rPr>
        <w:t xml:space="preserve">3. </w:t>
      </w:r>
      <w:r w:rsidR="00BF0A14">
        <w:rPr>
          <w:rFonts w:ascii="Tahoma" w:hAnsi="Tahoma" w:cs="Tahoma"/>
          <w:sz w:val="20"/>
          <w:szCs w:val="20"/>
        </w:rPr>
        <w:t>Do not store excessive quantities of petrol.</w:t>
      </w:r>
    </w:p>
    <w:p w14:paraId="71846DA2" w14:textId="405D52C8" w:rsidR="00BF0A14" w:rsidRDefault="00FC0757" w:rsidP="00B429E1">
      <w:pPr>
        <w:spacing w:after="0"/>
        <w:jc w:val="both"/>
        <w:rPr>
          <w:rFonts w:ascii="Tahoma" w:hAnsi="Tahoma" w:cs="Tahoma"/>
          <w:sz w:val="20"/>
          <w:szCs w:val="20"/>
        </w:rPr>
      </w:pPr>
      <w:r>
        <w:rPr>
          <w:rFonts w:ascii="Tahoma" w:hAnsi="Tahoma" w:cs="Tahoma"/>
          <w:sz w:val="20"/>
          <w:szCs w:val="20"/>
        </w:rPr>
        <w:t xml:space="preserve">4. </w:t>
      </w:r>
      <w:r w:rsidR="00BF0A14">
        <w:rPr>
          <w:rFonts w:ascii="Tahoma" w:hAnsi="Tahoma" w:cs="Tahoma"/>
          <w:sz w:val="20"/>
          <w:szCs w:val="20"/>
        </w:rPr>
        <w:t>Petrol must only be stored in purpose designed containers – 10 litres maximum (5 litres in a plastic container).</w:t>
      </w:r>
    </w:p>
    <w:p w14:paraId="713E87AC" w14:textId="50EF160C" w:rsidR="00BF0A14" w:rsidRDefault="00FC0757" w:rsidP="00B429E1">
      <w:pPr>
        <w:spacing w:after="0"/>
        <w:jc w:val="both"/>
        <w:rPr>
          <w:rFonts w:ascii="Tahoma" w:hAnsi="Tahoma" w:cs="Tahoma"/>
          <w:sz w:val="20"/>
          <w:szCs w:val="20"/>
        </w:rPr>
      </w:pPr>
      <w:r>
        <w:rPr>
          <w:rFonts w:ascii="Tahoma" w:hAnsi="Tahoma" w:cs="Tahoma"/>
          <w:sz w:val="20"/>
          <w:szCs w:val="20"/>
        </w:rPr>
        <w:t xml:space="preserve">5. </w:t>
      </w:r>
      <w:r w:rsidR="00BF0A14">
        <w:rPr>
          <w:rFonts w:ascii="Tahoma" w:hAnsi="Tahoma" w:cs="Tahoma"/>
          <w:sz w:val="20"/>
          <w:szCs w:val="20"/>
        </w:rPr>
        <w:t>No smoking or other sources of ignition are allowed in areas where petrol is stored or decanted.</w:t>
      </w:r>
    </w:p>
    <w:p w14:paraId="7D650615" w14:textId="49BE3805" w:rsidR="00BF0A14" w:rsidRDefault="00BF0A14" w:rsidP="00B429E1">
      <w:pPr>
        <w:spacing w:after="0"/>
        <w:jc w:val="center"/>
        <w:rPr>
          <w:noProof/>
        </w:rPr>
      </w:pPr>
      <w:r>
        <w:rPr>
          <w:noProof/>
        </w:rPr>
        <w:drawing>
          <wp:inline distT="0" distB="0" distL="0" distR="0" wp14:anchorId="1239ABF1" wp14:editId="621766FF">
            <wp:extent cx="9620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Pr>
          <w:noProof/>
        </w:rPr>
        <w:drawing>
          <wp:inline distT="0" distB="0" distL="0" distR="0" wp14:anchorId="45000666" wp14:editId="6F81C509">
            <wp:extent cx="9906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bl>
      <w:tblPr>
        <w:tblStyle w:val="TableGrid"/>
        <w:tblW w:w="0" w:type="auto"/>
        <w:shd w:val="clear" w:color="auto" w:fill="F4B083" w:themeFill="accent2" w:themeFillTint="99"/>
        <w:tblLook w:val="04A0" w:firstRow="1" w:lastRow="0" w:firstColumn="1" w:lastColumn="0" w:noHBand="0" w:noVBand="1"/>
      </w:tblPr>
      <w:tblGrid>
        <w:gridCol w:w="7335"/>
      </w:tblGrid>
      <w:tr w:rsidR="00BF0A14" w14:paraId="6627BCBA" w14:textId="77777777" w:rsidTr="00127058">
        <w:tc>
          <w:tcPr>
            <w:tcW w:w="7335" w:type="dxa"/>
            <w:tcBorders>
              <w:top w:val="nil"/>
              <w:left w:val="nil"/>
              <w:bottom w:val="nil"/>
              <w:right w:val="nil"/>
            </w:tcBorders>
            <w:shd w:val="clear" w:color="auto" w:fill="F4B083" w:themeFill="accent2" w:themeFillTint="99"/>
          </w:tcPr>
          <w:p w14:paraId="56646FF4" w14:textId="008AA9AF" w:rsidR="00BF0A14" w:rsidRDefault="00BF0A14" w:rsidP="00457F19">
            <w:pPr>
              <w:rPr>
                <w:rFonts w:ascii="Tahoma" w:hAnsi="Tahoma" w:cs="Tahoma"/>
                <w:sz w:val="20"/>
                <w:szCs w:val="20"/>
              </w:rPr>
            </w:pPr>
            <w:r>
              <w:rPr>
                <w:rFonts w:ascii="Tahoma" w:hAnsi="Tahoma" w:cs="Tahoma"/>
                <w:sz w:val="20"/>
                <w:szCs w:val="20"/>
              </w:rPr>
              <w:t>Diesel:</w:t>
            </w:r>
          </w:p>
        </w:tc>
      </w:tr>
    </w:tbl>
    <w:p w14:paraId="2F016489" w14:textId="22CE2FC5" w:rsidR="00BF0A14" w:rsidRDefault="00803ECD" w:rsidP="00B429E1">
      <w:pPr>
        <w:spacing w:after="0"/>
        <w:jc w:val="both"/>
        <w:rPr>
          <w:rFonts w:ascii="Tahoma" w:hAnsi="Tahoma" w:cs="Tahoma"/>
          <w:sz w:val="20"/>
          <w:szCs w:val="20"/>
        </w:rPr>
      </w:pPr>
      <w:r>
        <w:rPr>
          <w:rFonts w:ascii="Tahoma" w:hAnsi="Tahoma" w:cs="Tahoma"/>
          <w:sz w:val="20"/>
          <w:szCs w:val="20"/>
        </w:rPr>
        <w:t xml:space="preserve">1. </w:t>
      </w:r>
      <w:r w:rsidR="00FC0757">
        <w:rPr>
          <w:rFonts w:ascii="Tahoma" w:hAnsi="Tahoma" w:cs="Tahoma"/>
          <w:sz w:val="20"/>
          <w:szCs w:val="20"/>
        </w:rPr>
        <w:t>Diesel should only be stored at a designated refuelling point.</w:t>
      </w:r>
    </w:p>
    <w:p w14:paraId="16EF73F5" w14:textId="28800DAF" w:rsidR="00FC0757" w:rsidRDefault="00803ECD" w:rsidP="00B429E1">
      <w:pPr>
        <w:spacing w:after="0"/>
        <w:jc w:val="both"/>
        <w:rPr>
          <w:rFonts w:ascii="Tahoma" w:hAnsi="Tahoma" w:cs="Tahoma"/>
          <w:sz w:val="20"/>
          <w:szCs w:val="20"/>
        </w:rPr>
      </w:pPr>
      <w:r>
        <w:rPr>
          <w:rFonts w:ascii="Tahoma" w:hAnsi="Tahoma" w:cs="Tahoma"/>
          <w:sz w:val="20"/>
          <w:szCs w:val="20"/>
        </w:rPr>
        <w:t xml:space="preserve">2. </w:t>
      </w:r>
      <w:r w:rsidR="00FC0757">
        <w:rPr>
          <w:rFonts w:ascii="Tahoma" w:hAnsi="Tahoma" w:cs="Tahoma"/>
          <w:sz w:val="20"/>
          <w:szCs w:val="20"/>
        </w:rPr>
        <w:t>Protective gloves should be worn when handling diesel oil because skin contact can result in irritation.</w:t>
      </w:r>
    </w:p>
    <w:p w14:paraId="3CACB15B" w14:textId="1881C216" w:rsidR="00FC0757" w:rsidRDefault="00803ECD" w:rsidP="00B429E1">
      <w:pPr>
        <w:spacing w:after="0"/>
        <w:jc w:val="both"/>
        <w:rPr>
          <w:rFonts w:ascii="Tahoma" w:hAnsi="Tahoma" w:cs="Tahoma"/>
          <w:sz w:val="20"/>
          <w:szCs w:val="20"/>
        </w:rPr>
      </w:pPr>
      <w:r>
        <w:rPr>
          <w:rFonts w:ascii="Tahoma" w:hAnsi="Tahoma" w:cs="Tahoma"/>
          <w:sz w:val="20"/>
          <w:szCs w:val="20"/>
        </w:rPr>
        <w:t xml:space="preserve">3. </w:t>
      </w:r>
      <w:r w:rsidR="00FC0757">
        <w:rPr>
          <w:rFonts w:ascii="Tahoma" w:hAnsi="Tahoma" w:cs="Tahoma"/>
          <w:sz w:val="20"/>
          <w:szCs w:val="20"/>
        </w:rPr>
        <w:t>As an oil, spilt diesel will cause a slip hazard on hard surfaces.</w:t>
      </w:r>
    </w:p>
    <w:p w14:paraId="1D40BAB2" w14:textId="69F034E9" w:rsidR="00FC0757" w:rsidRDefault="00803ECD" w:rsidP="00B429E1">
      <w:pPr>
        <w:spacing w:after="0"/>
        <w:jc w:val="both"/>
        <w:rPr>
          <w:rFonts w:ascii="Tahoma" w:hAnsi="Tahoma" w:cs="Tahoma"/>
          <w:sz w:val="20"/>
          <w:szCs w:val="20"/>
        </w:rPr>
      </w:pPr>
      <w:r>
        <w:rPr>
          <w:rFonts w:ascii="Tahoma" w:hAnsi="Tahoma" w:cs="Tahoma"/>
          <w:sz w:val="20"/>
          <w:szCs w:val="20"/>
        </w:rPr>
        <w:t xml:space="preserve">4. </w:t>
      </w:r>
      <w:r w:rsidR="00FC0757">
        <w:rPr>
          <w:rFonts w:ascii="Tahoma" w:hAnsi="Tahoma" w:cs="Tahoma"/>
          <w:sz w:val="20"/>
          <w:szCs w:val="20"/>
        </w:rPr>
        <w:t>Diesel oil should be stored in either double skinned bowsers or tanks. Diesel stored in metal drums or cans should be stored on drip trays within a secure area.</w:t>
      </w:r>
    </w:p>
    <w:p w14:paraId="5DE216FA" w14:textId="23791EAA" w:rsidR="00FC0757" w:rsidRDefault="00FC0757" w:rsidP="00B429E1">
      <w:pPr>
        <w:spacing w:after="0"/>
        <w:jc w:val="center"/>
        <w:rPr>
          <w:rFonts w:ascii="Tahoma" w:hAnsi="Tahoma" w:cs="Tahoma"/>
          <w:sz w:val="20"/>
          <w:szCs w:val="20"/>
        </w:rPr>
      </w:pPr>
      <w:r>
        <w:rPr>
          <w:noProof/>
        </w:rPr>
        <w:drawing>
          <wp:inline distT="0" distB="0" distL="0" distR="0" wp14:anchorId="5DAF44AE" wp14:editId="7D6F4130">
            <wp:extent cx="2825442"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532" cy="1738827"/>
                    </a:xfrm>
                    <a:prstGeom prst="rect">
                      <a:avLst/>
                    </a:prstGeom>
                    <a:noFill/>
                    <a:ln>
                      <a:noFill/>
                    </a:ln>
                  </pic:spPr>
                </pic:pic>
              </a:graphicData>
            </a:graphic>
          </wp:inline>
        </w:drawing>
      </w:r>
      <w:r>
        <w:rPr>
          <w:noProof/>
        </w:rPr>
        <w:drawing>
          <wp:inline distT="0" distB="0" distL="0" distR="0" wp14:anchorId="17B60D45" wp14:editId="7DAF0324">
            <wp:extent cx="1711325" cy="171132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inline>
        </w:drawing>
      </w:r>
    </w:p>
    <w:p w14:paraId="194547F8" w14:textId="0FB6B0EC" w:rsidR="00FC0757" w:rsidRDefault="00FC0757" w:rsidP="00457F19">
      <w:pPr>
        <w:spacing w:after="0"/>
        <w:rPr>
          <w:rFonts w:ascii="Tahoma" w:hAnsi="Tahoma" w:cs="Tahoma"/>
          <w:sz w:val="20"/>
          <w:szCs w:val="20"/>
        </w:rPr>
      </w:pPr>
    </w:p>
    <w:p w14:paraId="6EAE1224" w14:textId="26FAE910" w:rsidR="00574191" w:rsidRDefault="00574191" w:rsidP="00457F19">
      <w:pPr>
        <w:spacing w:after="0"/>
        <w:rPr>
          <w:rFonts w:ascii="Tahoma" w:hAnsi="Tahoma" w:cs="Tahoma"/>
          <w:sz w:val="20"/>
          <w:szCs w:val="20"/>
        </w:rPr>
      </w:pPr>
    </w:p>
    <w:p w14:paraId="2A9E272E" w14:textId="77777777" w:rsidR="00574191" w:rsidRDefault="00574191" w:rsidP="00457F19">
      <w:pPr>
        <w:spacing w:after="0"/>
        <w:rPr>
          <w:rFonts w:ascii="Tahoma" w:hAnsi="Tahoma" w:cs="Tahoma"/>
          <w:sz w:val="20"/>
          <w:szCs w:val="20"/>
        </w:rPr>
      </w:pPr>
    </w:p>
    <w:tbl>
      <w:tblPr>
        <w:tblStyle w:val="TableGrid"/>
        <w:tblW w:w="0" w:type="auto"/>
        <w:shd w:val="clear" w:color="auto" w:fill="F4B083" w:themeFill="accent2" w:themeFillTint="99"/>
        <w:tblLook w:val="04A0" w:firstRow="1" w:lastRow="0" w:firstColumn="1" w:lastColumn="0" w:noHBand="0" w:noVBand="1"/>
      </w:tblPr>
      <w:tblGrid>
        <w:gridCol w:w="7335"/>
      </w:tblGrid>
      <w:tr w:rsidR="00FC0757" w14:paraId="03FE2CCA" w14:textId="77777777" w:rsidTr="00127058">
        <w:tc>
          <w:tcPr>
            <w:tcW w:w="7335" w:type="dxa"/>
            <w:tcBorders>
              <w:top w:val="nil"/>
              <w:left w:val="nil"/>
              <w:bottom w:val="nil"/>
              <w:right w:val="nil"/>
            </w:tcBorders>
            <w:shd w:val="clear" w:color="auto" w:fill="F4B083" w:themeFill="accent2" w:themeFillTint="99"/>
          </w:tcPr>
          <w:p w14:paraId="14C5D161" w14:textId="62237A93" w:rsidR="00FC0757" w:rsidRDefault="00FC0757" w:rsidP="00457F19">
            <w:pPr>
              <w:rPr>
                <w:rFonts w:ascii="Tahoma" w:hAnsi="Tahoma" w:cs="Tahoma"/>
                <w:sz w:val="20"/>
                <w:szCs w:val="20"/>
              </w:rPr>
            </w:pPr>
            <w:r>
              <w:rPr>
                <w:rFonts w:ascii="Tahoma" w:hAnsi="Tahoma" w:cs="Tahoma"/>
                <w:sz w:val="20"/>
                <w:szCs w:val="20"/>
              </w:rPr>
              <w:t>Liquified Petroleum Gas (LPG):</w:t>
            </w:r>
          </w:p>
        </w:tc>
      </w:tr>
    </w:tbl>
    <w:p w14:paraId="02635A63" w14:textId="5BE7CAF3" w:rsidR="00FC0757" w:rsidRDefault="000D0CC4" w:rsidP="00B429E1">
      <w:pPr>
        <w:spacing w:after="0"/>
        <w:jc w:val="both"/>
        <w:rPr>
          <w:rFonts w:ascii="Tahoma" w:hAnsi="Tahoma" w:cs="Tahoma"/>
          <w:sz w:val="20"/>
          <w:szCs w:val="20"/>
        </w:rPr>
      </w:pPr>
      <w:r>
        <w:rPr>
          <w:rFonts w:ascii="Tahoma" w:hAnsi="Tahoma" w:cs="Tahoma"/>
          <w:sz w:val="20"/>
          <w:szCs w:val="20"/>
        </w:rPr>
        <w:sym w:font="Wingdings 2" w:char="F075"/>
      </w:r>
      <w:r w:rsidR="00803ECD">
        <w:rPr>
          <w:rFonts w:ascii="Tahoma" w:hAnsi="Tahoma" w:cs="Tahoma"/>
          <w:sz w:val="20"/>
          <w:szCs w:val="20"/>
        </w:rPr>
        <w:t>LPG is used mainly as a fuel for small plant vehicles (such as dumpers &amp; forklift trucks).</w:t>
      </w:r>
    </w:p>
    <w:p w14:paraId="14BD8FE3" w14:textId="6661BC98" w:rsidR="00803ECD" w:rsidRDefault="000D0CC4" w:rsidP="00B429E1">
      <w:pPr>
        <w:spacing w:after="0"/>
        <w:jc w:val="both"/>
        <w:rPr>
          <w:rFonts w:ascii="Tahoma" w:hAnsi="Tahoma" w:cs="Tahoma"/>
          <w:sz w:val="20"/>
          <w:szCs w:val="20"/>
        </w:rPr>
      </w:pPr>
      <w:r>
        <w:rPr>
          <w:rFonts w:ascii="Tahoma" w:hAnsi="Tahoma" w:cs="Tahoma"/>
          <w:sz w:val="20"/>
          <w:szCs w:val="20"/>
        </w:rPr>
        <w:sym w:font="Wingdings 2" w:char="F076"/>
      </w:r>
      <w:r w:rsidR="00803ECD">
        <w:rPr>
          <w:rFonts w:ascii="Tahoma" w:hAnsi="Tahoma" w:cs="Tahoma"/>
          <w:sz w:val="20"/>
          <w:szCs w:val="20"/>
        </w:rPr>
        <w:t>Cylinders are of special construction and designed to be mounted on their side.</w:t>
      </w:r>
    </w:p>
    <w:p w14:paraId="37205488" w14:textId="4E8CF7C6" w:rsidR="00803ECD" w:rsidRDefault="000D0CC4" w:rsidP="00B429E1">
      <w:pPr>
        <w:spacing w:after="0"/>
        <w:jc w:val="both"/>
        <w:rPr>
          <w:rFonts w:ascii="Tahoma" w:hAnsi="Tahoma" w:cs="Tahoma"/>
          <w:sz w:val="20"/>
          <w:szCs w:val="20"/>
        </w:rPr>
      </w:pPr>
      <w:r>
        <w:rPr>
          <w:rFonts w:ascii="Tahoma" w:hAnsi="Tahoma" w:cs="Tahoma"/>
          <w:sz w:val="20"/>
          <w:szCs w:val="20"/>
        </w:rPr>
        <w:sym w:font="Wingdings 2" w:char="F077"/>
      </w:r>
      <w:r w:rsidR="00803ECD">
        <w:rPr>
          <w:rFonts w:ascii="Tahoma" w:hAnsi="Tahoma" w:cs="Tahoma"/>
          <w:sz w:val="20"/>
          <w:szCs w:val="20"/>
        </w:rPr>
        <w:t>Cylinder connectors and other unions have a left-handed thread.</w:t>
      </w:r>
    </w:p>
    <w:p w14:paraId="79E3B821" w14:textId="110A37A1" w:rsidR="00803ECD" w:rsidRDefault="000D0CC4" w:rsidP="00B429E1">
      <w:pPr>
        <w:spacing w:after="0"/>
        <w:jc w:val="both"/>
        <w:rPr>
          <w:rFonts w:ascii="Tahoma" w:hAnsi="Tahoma" w:cs="Tahoma"/>
          <w:sz w:val="20"/>
          <w:szCs w:val="20"/>
        </w:rPr>
      </w:pPr>
      <w:r>
        <w:rPr>
          <w:rFonts w:ascii="Tahoma" w:hAnsi="Tahoma" w:cs="Tahoma"/>
          <w:sz w:val="20"/>
          <w:szCs w:val="20"/>
        </w:rPr>
        <w:sym w:font="Wingdings 2" w:char="F078"/>
      </w:r>
      <w:r w:rsidR="00803ECD">
        <w:rPr>
          <w:rFonts w:ascii="Tahoma" w:hAnsi="Tahoma" w:cs="Tahoma"/>
          <w:sz w:val="20"/>
          <w:szCs w:val="20"/>
        </w:rPr>
        <w:t>Use the correct size spanner for tightening connections; hand-tight connections will leak.</w:t>
      </w:r>
    </w:p>
    <w:p w14:paraId="4D3911C2" w14:textId="5004E704" w:rsidR="00803ECD" w:rsidRDefault="000D0CC4" w:rsidP="00B429E1">
      <w:pPr>
        <w:spacing w:after="0"/>
        <w:jc w:val="both"/>
        <w:rPr>
          <w:rFonts w:ascii="Tahoma" w:hAnsi="Tahoma" w:cs="Tahoma"/>
          <w:sz w:val="20"/>
          <w:szCs w:val="20"/>
        </w:rPr>
      </w:pPr>
      <w:r>
        <w:rPr>
          <w:rFonts w:ascii="Tahoma" w:hAnsi="Tahoma" w:cs="Tahoma"/>
          <w:sz w:val="20"/>
          <w:szCs w:val="20"/>
        </w:rPr>
        <w:sym w:font="Wingdings 2" w:char="F079"/>
      </w:r>
      <w:r w:rsidR="00803ECD">
        <w:rPr>
          <w:rFonts w:ascii="Tahoma" w:hAnsi="Tahoma" w:cs="Tahoma"/>
          <w:sz w:val="20"/>
          <w:szCs w:val="20"/>
        </w:rPr>
        <w:t>LPG vapour is heavier than air; leaks will accumulate at floor level or in drains if not allowed to disperse.</w:t>
      </w:r>
    </w:p>
    <w:p w14:paraId="7C7AF830" w14:textId="441E63EF" w:rsidR="00803ECD" w:rsidRDefault="000D0CC4" w:rsidP="00B429E1">
      <w:pPr>
        <w:spacing w:after="0"/>
        <w:jc w:val="both"/>
        <w:rPr>
          <w:rFonts w:ascii="Tahoma" w:hAnsi="Tahoma" w:cs="Tahoma"/>
          <w:sz w:val="20"/>
          <w:szCs w:val="20"/>
        </w:rPr>
      </w:pPr>
      <w:r>
        <w:rPr>
          <w:rFonts w:ascii="Tahoma" w:hAnsi="Tahoma" w:cs="Tahoma"/>
          <w:sz w:val="20"/>
          <w:szCs w:val="20"/>
        </w:rPr>
        <w:sym w:font="Wingdings 2" w:char="F07A"/>
      </w:r>
      <w:r w:rsidR="00803ECD">
        <w:rPr>
          <w:rFonts w:ascii="Tahoma" w:hAnsi="Tahoma" w:cs="Tahoma"/>
          <w:sz w:val="20"/>
          <w:szCs w:val="20"/>
        </w:rPr>
        <w:t xml:space="preserve">LPG vapour is highly flammable and must be kept away from sources of heat, naked </w:t>
      </w:r>
      <w:r>
        <w:rPr>
          <w:rFonts w:ascii="Tahoma" w:hAnsi="Tahoma" w:cs="Tahoma"/>
          <w:sz w:val="20"/>
          <w:szCs w:val="20"/>
        </w:rPr>
        <w:t>flames,</w:t>
      </w:r>
      <w:r w:rsidR="00803ECD">
        <w:rPr>
          <w:rFonts w:ascii="Tahoma" w:hAnsi="Tahoma" w:cs="Tahoma"/>
          <w:sz w:val="20"/>
          <w:szCs w:val="20"/>
        </w:rPr>
        <w:t xml:space="preserve"> and sparks.</w:t>
      </w:r>
    </w:p>
    <w:p w14:paraId="743BCF82" w14:textId="1864AC3B" w:rsidR="000D0CC4" w:rsidRDefault="000D0CC4" w:rsidP="00B429E1">
      <w:pPr>
        <w:spacing w:after="0"/>
        <w:jc w:val="both"/>
        <w:rPr>
          <w:rFonts w:ascii="Tahoma" w:hAnsi="Tahoma" w:cs="Tahoma"/>
          <w:sz w:val="20"/>
          <w:szCs w:val="20"/>
        </w:rPr>
      </w:pPr>
      <w:r>
        <w:rPr>
          <w:rFonts w:ascii="Tahoma" w:hAnsi="Tahoma" w:cs="Tahoma"/>
          <w:sz w:val="20"/>
          <w:szCs w:val="20"/>
        </w:rPr>
        <w:sym w:font="Wingdings 2" w:char="F07B"/>
      </w:r>
      <w:r>
        <w:rPr>
          <w:rFonts w:ascii="Tahoma" w:hAnsi="Tahoma" w:cs="Tahoma"/>
          <w:sz w:val="20"/>
          <w:szCs w:val="20"/>
        </w:rPr>
        <w:t>if LPG cylinders are being heated in a fire, evacuate the area immediately.</w:t>
      </w:r>
    </w:p>
    <w:p w14:paraId="693020E8" w14:textId="766B5D70" w:rsidR="00164259" w:rsidRDefault="00164259" w:rsidP="00B429E1">
      <w:pPr>
        <w:spacing w:after="0"/>
        <w:jc w:val="both"/>
        <w:rPr>
          <w:rFonts w:ascii="Tahoma" w:hAnsi="Tahoma" w:cs="Tahoma"/>
          <w:sz w:val="20"/>
          <w:szCs w:val="20"/>
        </w:rPr>
      </w:pPr>
    </w:p>
    <w:p w14:paraId="0FEC86E1" w14:textId="28B2D05F" w:rsidR="00164259" w:rsidRDefault="00164259" w:rsidP="00B429E1">
      <w:pPr>
        <w:spacing w:after="0"/>
        <w:jc w:val="both"/>
        <w:rPr>
          <w:rFonts w:ascii="Tahoma" w:hAnsi="Tahoma" w:cs="Tahoma"/>
          <w:sz w:val="20"/>
          <w:szCs w:val="20"/>
        </w:rPr>
      </w:pPr>
      <w:r>
        <w:rPr>
          <w:noProof/>
        </w:rPr>
        <w:drawing>
          <wp:inline distT="0" distB="0" distL="0" distR="0" wp14:anchorId="65B59872" wp14:editId="1EA166A1">
            <wp:extent cx="2356293" cy="12954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2293" cy="1309694"/>
                    </a:xfrm>
                    <a:prstGeom prst="rect">
                      <a:avLst/>
                    </a:prstGeom>
                    <a:noFill/>
                    <a:ln>
                      <a:noFill/>
                    </a:ln>
                  </pic:spPr>
                </pic:pic>
              </a:graphicData>
            </a:graphic>
          </wp:inline>
        </w:drawing>
      </w:r>
      <w:r w:rsidRPr="00164259">
        <w:t xml:space="preserve"> </w:t>
      </w:r>
      <w:r>
        <w:rPr>
          <w:noProof/>
        </w:rPr>
        <w:t xml:space="preserve">          </w:t>
      </w:r>
      <w:r>
        <w:rPr>
          <w:noProof/>
        </w:rPr>
        <w:drawing>
          <wp:inline distT="0" distB="0" distL="0" distR="0" wp14:anchorId="08513CD8" wp14:editId="20877315">
            <wp:extent cx="12954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78F59EF5" w14:textId="01E02767" w:rsidR="00164259" w:rsidRDefault="00164259" w:rsidP="00B429E1">
      <w:pPr>
        <w:spacing w:after="0"/>
        <w:jc w:val="both"/>
        <w:rPr>
          <w:rFonts w:ascii="Tahoma" w:hAnsi="Tahoma" w:cs="Tahoma"/>
          <w:sz w:val="20"/>
          <w:szCs w:val="20"/>
        </w:rPr>
      </w:pPr>
    </w:p>
    <w:tbl>
      <w:tblPr>
        <w:tblStyle w:val="TableGrid"/>
        <w:tblW w:w="0" w:type="auto"/>
        <w:shd w:val="clear" w:color="auto" w:fill="F4B083" w:themeFill="accent2" w:themeFillTint="99"/>
        <w:tblLook w:val="04A0" w:firstRow="1" w:lastRow="0" w:firstColumn="1" w:lastColumn="0" w:noHBand="0" w:noVBand="1"/>
      </w:tblPr>
      <w:tblGrid>
        <w:gridCol w:w="3975"/>
        <w:gridCol w:w="3370"/>
      </w:tblGrid>
      <w:tr w:rsidR="00164259" w14:paraId="4EB3FCB4" w14:textId="4B612F64" w:rsidTr="00127058">
        <w:tc>
          <w:tcPr>
            <w:tcW w:w="3975" w:type="dxa"/>
            <w:tcBorders>
              <w:top w:val="nil"/>
              <w:left w:val="nil"/>
              <w:bottom w:val="nil"/>
              <w:right w:val="nil"/>
            </w:tcBorders>
            <w:shd w:val="clear" w:color="auto" w:fill="F4B083" w:themeFill="accent2" w:themeFillTint="99"/>
          </w:tcPr>
          <w:p w14:paraId="2D69CB96" w14:textId="2C9AAA16" w:rsidR="00164259" w:rsidRDefault="00164259" w:rsidP="00B429E1">
            <w:pPr>
              <w:jc w:val="both"/>
              <w:rPr>
                <w:rFonts w:ascii="Tahoma" w:hAnsi="Tahoma" w:cs="Tahoma"/>
                <w:sz w:val="20"/>
                <w:szCs w:val="20"/>
              </w:rPr>
            </w:pPr>
            <w:r>
              <w:rPr>
                <w:rFonts w:ascii="Tahoma" w:hAnsi="Tahoma" w:cs="Tahoma"/>
                <w:sz w:val="20"/>
                <w:szCs w:val="20"/>
              </w:rPr>
              <w:t>Precautions:</w:t>
            </w:r>
          </w:p>
        </w:tc>
        <w:tc>
          <w:tcPr>
            <w:tcW w:w="3370" w:type="dxa"/>
            <w:tcBorders>
              <w:top w:val="nil"/>
              <w:left w:val="nil"/>
              <w:bottom w:val="nil"/>
              <w:right w:val="nil"/>
            </w:tcBorders>
            <w:shd w:val="clear" w:color="auto" w:fill="F4B083" w:themeFill="accent2" w:themeFillTint="99"/>
          </w:tcPr>
          <w:p w14:paraId="6A63F96D" w14:textId="77777777" w:rsidR="00164259" w:rsidRDefault="00164259" w:rsidP="00B429E1">
            <w:pPr>
              <w:jc w:val="both"/>
              <w:rPr>
                <w:rFonts w:ascii="Tahoma" w:hAnsi="Tahoma" w:cs="Tahoma"/>
                <w:sz w:val="20"/>
                <w:szCs w:val="20"/>
              </w:rPr>
            </w:pPr>
          </w:p>
        </w:tc>
      </w:tr>
    </w:tbl>
    <w:p w14:paraId="41B61730" w14:textId="59A6517D" w:rsidR="000D0CC4" w:rsidRPr="00A17761" w:rsidRDefault="00F11D5A" w:rsidP="00A17761">
      <w:pPr>
        <w:pStyle w:val="ListParagraph"/>
        <w:numPr>
          <w:ilvl w:val="0"/>
          <w:numId w:val="17"/>
        </w:numPr>
        <w:spacing w:after="0"/>
        <w:jc w:val="both"/>
        <w:rPr>
          <w:rFonts w:ascii="Tahoma" w:hAnsi="Tahoma" w:cs="Tahoma"/>
          <w:sz w:val="20"/>
          <w:szCs w:val="20"/>
        </w:rPr>
      </w:pPr>
      <w:r w:rsidRPr="00A17761">
        <w:rPr>
          <w:rFonts w:ascii="Tahoma" w:hAnsi="Tahoma" w:cs="Tahoma"/>
          <w:sz w:val="20"/>
          <w:szCs w:val="20"/>
        </w:rPr>
        <w:t>Do not pour waste or wash spillages of fuel or oil down drains.</w:t>
      </w:r>
    </w:p>
    <w:p w14:paraId="10D70EE5" w14:textId="6AA06D61" w:rsidR="00F11D5A" w:rsidRPr="00A17761" w:rsidRDefault="00F11D5A" w:rsidP="00A17761">
      <w:pPr>
        <w:pStyle w:val="ListParagraph"/>
        <w:numPr>
          <w:ilvl w:val="0"/>
          <w:numId w:val="17"/>
        </w:numPr>
        <w:spacing w:after="0"/>
        <w:jc w:val="both"/>
        <w:rPr>
          <w:rFonts w:ascii="Tahoma" w:hAnsi="Tahoma" w:cs="Tahoma"/>
          <w:sz w:val="20"/>
          <w:szCs w:val="20"/>
        </w:rPr>
      </w:pPr>
      <w:r w:rsidRPr="00A17761">
        <w:rPr>
          <w:rFonts w:ascii="Tahoma" w:hAnsi="Tahoma" w:cs="Tahoma"/>
          <w:sz w:val="20"/>
          <w:szCs w:val="20"/>
        </w:rPr>
        <w:t>Do not store or carry out refuelling within 10m of a watercourse or drain.</w:t>
      </w:r>
    </w:p>
    <w:p w14:paraId="3D2EC832" w14:textId="55D8B9DB" w:rsidR="00A17761" w:rsidRPr="00A17761" w:rsidRDefault="00A17761" w:rsidP="00A17761">
      <w:pPr>
        <w:pStyle w:val="ListParagraph"/>
        <w:numPr>
          <w:ilvl w:val="0"/>
          <w:numId w:val="17"/>
        </w:numPr>
        <w:spacing w:after="0"/>
        <w:jc w:val="both"/>
        <w:rPr>
          <w:rFonts w:ascii="Tahoma" w:hAnsi="Tahoma" w:cs="Tahoma"/>
          <w:sz w:val="20"/>
          <w:szCs w:val="20"/>
        </w:rPr>
      </w:pPr>
      <w:r w:rsidRPr="00A17761">
        <w:rPr>
          <w:rFonts w:ascii="Tahoma" w:hAnsi="Tahoma" w:cs="Tahoma"/>
          <w:sz w:val="20"/>
          <w:szCs w:val="20"/>
        </w:rPr>
        <w:t>Do not leave refuelling hoses outside bunds after use.</w:t>
      </w:r>
    </w:p>
    <w:p w14:paraId="765EF5AD" w14:textId="0A50A142" w:rsidR="00A17761" w:rsidRPr="00A17761" w:rsidRDefault="00A17761" w:rsidP="00A17761">
      <w:pPr>
        <w:pStyle w:val="ListParagraph"/>
        <w:numPr>
          <w:ilvl w:val="0"/>
          <w:numId w:val="17"/>
        </w:numPr>
        <w:spacing w:after="0"/>
        <w:jc w:val="both"/>
        <w:rPr>
          <w:rFonts w:ascii="Tahoma" w:hAnsi="Tahoma" w:cs="Tahoma"/>
          <w:sz w:val="20"/>
          <w:szCs w:val="20"/>
        </w:rPr>
      </w:pPr>
      <w:r w:rsidRPr="00A17761">
        <w:rPr>
          <w:rFonts w:ascii="Tahoma" w:hAnsi="Tahoma" w:cs="Tahoma"/>
          <w:sz w:val="20"/>
          <w:szCs w:val="20"/>
        </w:rPr>
        <w:t>Always return containers to bunded areas after use.</w:t>
      </w:r>
    </w:p>
    <w:p w14:paraId="52471A98" w14:textId="187C780F" w:rsidR="00A17761" w:rsidRPr="00A17761" w:rsidRDefault="00A17761" w:rsidP="00A17761">
      <w:pPr>
        <w:pStyle w:val="ListParagraph"/>
        <w:numPr>
          <w:ilvl w:val="0"/>
          <w:numId w:val="17"/>
        </w:numPr>
        <w:spacing w:after="0"/>
        <w:jc w:val="both"/>
        <w:rPr>
          <w:rFonts w:ascii="Tahoma" w:hAnsi="Tahoma" w:cs="Tahoma"/>
          <w:sz w:val="20"/>
          <w:szCs w:val="20"/>
        </w:rPr>
      </w:pPr>
      <w:r w:rsidRPr="00A17761">
        <w:rPr>
          <w:rFonts w:ascii="Tahoma" w:hAnsi="Tahoma" w:cs="Tahoma"/>
          <w:sz w:val="20"/>
          <w:szCs w:val="20"/>
        </w:rPr>
        <w:t>Do not allow drip trays to overflow or leave a tank to fill unsupervised.</w:t>
      </w:r>
    </w:p>
    <w:p w14:paraId="5E3AC1EA" w14:textId="0F2E19FC" w:rsidR="00F11D5A" w:rsidRDefault="00F11D5A" w:rsidP="00B429E1">
      <w:pPr>
        <w:spacing w:after="0"/>
        <w:jc w:val="both"/>
        <w:rPr>
          <w:rFonts w:ascii="Tahoma" w:hAnsi="Tahoma" w:cs="Tahoma"/>
          <w:sz w:val="20"/>
          <w:szCs w:val="20"/>
        </w:rPr>
      </w:pPr>
    </w:p>
    <w:p w14:paraId="6F6C3202" w14:textId="77777777" w:rsidR="00674768" w:rsidRDefault="00674768" w:rsidP="00B429E1">
      <w:pPr>
        <w:spacing w:after="0"/>
        <w:jc w:val="both"/>
        <w:rPr>
          <w:rFonts w:ascii="Tahoma" w:hAnsi="Tahoma" w:cs="Tahoma"/>
          <w:b/>
          <w:bCs/>
          <w:color w:val="4472C4" w:themeColor="accent1"/>
          <w:sz w:val="20"/>
          <w:szCs w:val="20"/>
        </w:rPr>
      </w:pPr>
    </w:p>
    <w:p w14:paraId="11E2A8F4" w14:textId="77777777" w:rsidR="00674768" w:rsidRDefault="00674768" w:rsidP="00B429E1">
      <w:pPr>
        <w:spacing w:after="0"/>
        <w:jc w:val="both"/>
        <w:rPr>
          <w:rFonts w:ascii="Tahoma" w:hAnsi="Tahoma" w:cs="Tahoma"/>
          <w:b/>
          <w:bCs/>
          <w:color w:val="4472C4" w:themeColor="accent1"/>
          <w:sz w:val="20"/>
          <w:szCs w:val="20"/>
        </w:rPr>
      </w:pPr>
    </w:p>
    <w:p w14:paraId="07713107" w14:textId="77777777" w:rsidR="00674768" w:rsidRDefault="00674768" w:rsidP="00B429E1">
      <w:pPr>
        <w:spacing w:after="0"/>
        <w:jc w:val="both"/>
        <w:rPr>
          <w:rFonts w:ascii="Tahoma" w:hAnsi="Tahoma" w:cs="Tahoma"/>
          <w:b/>
          <w:bCs/>
          <w:color w:val="4472C4" w:themeColor="accent1"/>
          <w:sz w:val="20"/>
          <w:szCs w:val="20"/>
        </w:rPr>
      </w:pPr>
    </w:p>
    <w:p w14:paraId="7236E35F" w14:textId="77777777" w:rsidR="00674768" w:rsidRDefault="00674768" w:rsidP="00B429E1">
      <w:pPr>
        <w:spacing w:after="0"/>
        <w:jc w:val="both"/>
        <w:rPr>
          <w:rFonts w:ascii="Tahoma" w:hAnsi="Tahoma" w:cs="Tahoma"/>
          <w:b/>
          <w:bCs/>
          <w:color w:val="4472C4" w:themeColor="accent1"/>
          <w:sz w:val="20"/>
          <w:szCs w:val="20"/>
        </w:rPr>
      </w:pPr>
    </w:p>
    <w:p w14:paraId="0F1A1FDA" w14:textId="77777777" w:rsidR="00674768" w:rsidRDefault="00674768" w:rsidP="00B429E1">
      <w:pPr>
        <w:spacing w:after="0"/>
        <w:jc w:val="both"/>
        <w:rPr>
          <w:rFonts w:ascii="Tahoma" w:hAnsi="Tahoma" w:cs="Tahoma"/>
          <w:b/>
          <w:bCs/>
          <w:color w:val="4472C4" w:themeColor="accent1"/>
          <w:sz w:val="20"/>
          <w:szCs w:val="20"/>
        </w:rPr>
      </w:pPr>
    </w:p>
    <w:p w14:paraId="7F568E7C" w14:textId="77777777" w:rsidR="00674768" w:rsidRDefault="00674768" w:rsidP="00B429E1">
      <w:pPr>
        <w:spacing w:after="0"/>
        <w:jc w:val="both"/>
        <w:rPr>
          <w:rFonts w:ascii="Tahoma" w:hAnsi="Tahoma" w:cs="Tahoma"/>
          <w:b/>
          <w:bCs/>
          <w:color w:val="4472C4" w:themeColor="accent1"/>
          <w:sz w:val="20"/>
          <w:szCs w:val="20"/>
        </w:rPr>
      </w:pPr>
    </w:p>
    <w:p w14:paraId="78BB5087" w14:textId="77777777" w:rsidR="00674768" w:rsidRDefault="00674768" w:rsidP="00B429E1">
      <w:pPr>
        <w:spacing w:after="0"/>
        <w:jc w:val="both"/>
        <w:rPr>
          <w:rFonts w:ascii="Tahoma" w:hAnsi="Tahoma" w:cs="Tahoma"/>
          <w:b/>
          <w:bCs/>
          <w:color w:val="4472C4" w:themeColor="accent1"/>
          <w:sz w:val="20"/>
          <w:szCs w:val="20"/>
        </w:rPr>
      </w:pPr>
    </w:p>
    <w:p w14:paraId="2B8AD05C" w14:textId="77777777" w:rsidR="00674768" w:rsidRDefault="00674768" w:rsidP="00B429E1">
      <w:pPr>
        <w:spacing w:after="0"/>
        <w:jc w:val="both"/>
        <w:rPr>
          <w:rFonts w:ascii="Tahoma" w:hAnsi="Tahoma" w:cs="Tahoma"/>
          <w:b/>
          <w:bCs/>
          <w:color w:val="4472C4" w:themeColor="accent1"/>
          <w:sz w:val="20"/>
          <w:szCs w:val="20"/>
        </w:rPr>
      </w:pPr>
    </w:p>
    <w:p w14:paraId="5AC45540" w14:textId="450D5536" w:rsidR="000D0CC4" w:rsidRPr="00127058" w:rsidRDefault="000D0CC4" w:rsidP="00B429E1">
      <w:pPr>
        <w:spacing w:after="0"/>
        <w:jc w:val="both"/>
        <w:rPr>
          <w:rFonts w:ascii="Tahoma" w:hAnsi="Tahoma" w:cs="Tahoma"/>
          <w:b/>
          <w:bCs/>
          <w:color w:val="ED7D31" w:themeColor="accent2"/>
          <w:sz w:val="20"/>
          <w:szCs w:val="20"/>
        </w:rPr>
      </w:pPr>
      <w:r w:rsidRPr="00127058">
        <w:rPr>
          <w:rFonts w:ascii="Tahoma" w:hAnsi="Tahoma" w:cs="Tahoma"/>
          <w:b/>
          <w:bCs/>
          <w:color w:val="ED7D31" w:themeColor="accent2"/>
          <w:sz w:val="20"/>
          <w:szCs w:val="20"/>
        </w:rPr>
        <w:t>Discussion Points:</w:t>
      </w:r>
    </w:p>
    <w:p w14:paraId="09B08B9D" w14:textId="54E8BB29" w:rsidR="000D0CC4" w:rsidRPr="00127058" w:rsidRDefault="000D0CC4" w:rsidP="00B429E1">
      <w:pPr>
        <w:spacing w:after="0"/>
        <w:jc w:val="both"/>
        <w:rPr>
          <w:rFonts w:ascii="Tahoma" w:hAnsi="Tahoma" w:cs="Tahoma"/>
          <w:color w:val="ED7D31" w:themeColor="accent2"/>
          <w:sz w:val="20"/>
          <w:szCs w:val="20"/>
        </w:rPr>
      </w:pPr>
    </w:p>
    <w:p w14:paraId="7F60E56A" w14:textId="48E955C2" w:rsidR="000D0CC4" w:rsidRPr="00127058" w:rsidRDefault="000D0CC4"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How do you reduce the chance of diesel spillage when refuelling plant?</w:t>
      </w:r>
    </w:p>
    <w:p w14:paraId="3A8BD4CF" w14:textId="22E54912" w:rsidR="000D0CC4" w:rsidRPr="00127058" w:rsidRDefault="000D0CC4"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What should you do in the event of an emergency, such as fuel spillage or fire?</w:t>
      </w:r>
    </w:p>
    <w:p w14:paraId="5130F8BA" w14:textId="4EBE75EB" w:rsidR="000D0CC4" w:rsidRPr="00127058" w:rsidRDefault="000D0CC4"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What arrangements should be made for the storage of LPG cylinders?</w:t>
      </w:r>
    </w:p>
    <w:p w14:paraId="7BBEA863" w14:textId="1E1D8D69" w:rsidR="000D0CC4" w:rsidRPr="00127058" w:rsidRDefault="000D0CC4"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How can you prevent the accumulation of leaking</w:t>
      </w:r>
      <w:r w:rsidR="00901B7C" w:rsidRPr="00127058">
        <w:rPr>
          <w:rFonts w:ascii="Tahoma" w:hAnsi="Tahoma" w:cs="Tahoma"/>
          <w:color w:val="ED7D31" w:themeColor="accent2"/>
          <w:sz w:val="20"/>
          <w:szCs w:val="20"/>
        </w:rPr>
        <w:t xml:space="preserve"> LPG at floor level? </w:t>
      </w:r>
    </w:p>
    <w:p w14:paraId="6EC6B355" w14:textId="16EB5C54" w:rsidR="00901B7C" w:rsidRPr="00127058" w:rsidRDefault="00901B7C"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What type of fire extinguisher should you have available for hot work using LPG?</w:t>
      </w:r>
    </w:p>
    <w:p w14:paraId="5E41B491" w14:textId="7CFB8054" w:rsidR="00A17761" w:rsidRPr="00127058" w:rsidRDefault="00A17761"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What is the maximum capacity of a bund?</w:t>
      </w:r>
    </w:p>
    <w:p w14:paraId="57770E06" w14:textId="07D5DDDF" w:rsidR="00A17761" w:rsidRPr="00127058" w:rsidRDefault="00A17761" w:rsidP="00B429E1">
      <w:pPr>
        <w:spacing w:after="0"/>
        <w:jc w:val="both"/>
        <w:rPr>
          <w:rFonts w:ascii="Tahoma" w:hAnsi="Tahoma" w:cs="Tahoma"/>
          <w:color w:val="ED7D31" w:themeColor="accent2"/>
          <w:sz w:val="20"/>
          <w:szCs w:val="20"/>
        </w:rPr>
      </w:pPr>
      <w:r w:rsidRPr="00127058">
        <w:rPr>
          <w:rFonts w:ascii="Tahoma" w:hAnsi="Tahoma" w:cs="Tahoma"/>
          <w:color w:val="ED7D31" w:themeColor="accent2"/>
          <w:sz w:val="20"/>
          <w:szCs w:val="20"/>
        </w:rPr>
        <w:t>How far from a watercourse should fuels and oils be stored?</w:t>
      </w:r>
    </w:p>
    <w:sectPr w:rsidR="00A17761" w:rsidRPr="00127058" w:rsidSect="00063DFD">
      <w:headerReference w:type="default" r:id="rId16"/>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540D" w14:textId="77777777" w:rsidR="007E036A" w:rsidRDefault="007E036A" w:rsidP="00063DFD">
      <w:pPr>
        <w:spacing w:after="0" w:line="240" w:lineRule="auto"/>
      </w:pPr>
      <w:r>
        <w:separator/>
      </w:r>
    </w:p>
  </w:endnote>
  <w:endnote w:type="continuationSeparator" w:id="0">
    <w:p w14:paraId="7935410C" w14:textId="77777777" w:rsidR="007E036A" w:rsidRDefault="007E036A"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8AC2" w14:textId="77777777" w:rsidR="007E036A" w:rsidRDefault="007E036A" w:rsidP="00063DFD">
      <w:pPr>
        <w:spacing w:after="0" w:line="240" w:lineRule="auto"/>
      </w:pPr>
      <w:r>
        <w:separator/>
      </w:r>
    </w:p>
  </w:footnote>
  <w:footnote w:type="continuationSeparator" w:id="0">
    <w:p w14:paraId="27EA440F" w14:textId="77777777" w:rsidR="007E036A" w:rsidRDefault="007E036A"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0AFAF720"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EA7B62">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PETROL, DIESEL AND LPG.</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AE446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C006PDLPG</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C53B6"/>
    <w:multiLevelType w:val="hybridMultilevel"/>
    <w:tmpl w:val="61BE5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C5991"/>
    <w:multiLevelType w:val="hybridMultilevel"/>
    <w:tmpl w:val="A43E8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9B0"/>
    <w:multiLevelType w:val="hybridMultilevel"/>
    <w:tmpl w:val="D83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83547"/>
    <w:multiLevelType w:val="hybridMultilevel"/>
    <w:tmpl w:val="3C76C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14"/>
  </w:num>
  <w:num w:numId="5">
    <w:abstractNumId w:val="6"/>
  </w:num>
  <w:num w:numId="6">
    <w:abstractNumId w:val="0"/>
  </w:num>
  <w:num w:numId="7">
    <w:abstractNumId w:val="16"/>
  </w:num>
  <w:num w:numId="8">
    <w:abstractNumId w:val="5"/>
  </w:num>
  <w:num w:numId="9">
    <w:abstractNumId w:val="2"/>
  </w:num>
  <w:num w:numId="10">
    <w:abstractNumId w:val="11"/>
  </w:num>
  <w:num w:numId="11">
    <w:abstractNumId w:val="3"/>
  </w:num>
  <w:num w:numId="12">
    <w:abstractNumId w:val="8"/>
  </w:num>
  <w:num w:numId="13">
    <w:abstractNumId w:val="7"/>
  </w:num>
  <w:num w:numId="14">
    <w:abstractNumId w:val="10"/>
  </w:num>
  <w:num w:numId="15">
    <w:abstractNumId w:val="1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92B"/>
    <w:rsid w:val="00063DFD"/>
    <w:rsid w:val="000807C7"/>
    <w:rsid w:val="00091E6B"/>
    <w:rsid w:val="000C09C0"/>
    <w:rsid w:val="000D0CC4"/>
    <w:rsid w:val="001166BB"/>
    <w:rsid w:val="00127058"/>
    <w:rsid w:val="00164259"/>
    <w:rsid w:val="00165602"/>
    <w:rsid w:val="00174140"/>
    <w:rsid w:val="001A416D"/>
    <w:rsid w:val="001B3F0A"/>
    <w:rsid w:val="00221D23"/>
    <w:rsid w:val="00246E7C"/>
    <w:rsid w:val="00283665"/>
    <w:rsid w:val="002D765C"/>
    <w:rsid w:val="003022D8"/>
    <w:rsid w:val="003036D2"/>
    <w:rsid w:val="003231E5"/>
    <w:rsid w:val="003446E0"/>
    <w:rsid w:val="003550C8"/>
    <w:rsid w:val="003B232F"/>
    <w:rsid w:val="003C120B"/>
    <w:rsid w:val="003C6AAD"/>
    <w:rsid w:val="00404C79"/>
    <w:rsid w:val="0044107F"/>
    <w:rsid w:val="00457F19"/>
    <w:rsid w:val="004A1D7A"/>
    <w:rsid w:val="005049F1"/>
    <w:rsid w:val="00507EE7"/>
    <w:rsid w:val="0055514D"/>
    <w:rsid w:val="00560400"/>
    <w:rsid w:val="00574191"/>
    <w:rsid w:val="00674768"/>
    <w:rsid w:val="006C1C1F"/>
    <w:rsid w:val="006D4DE2"/>
    <w:rsid w:val="00703DD2"/>
    <w:rsid w:val="0071099E"/>
    <w:rsid w:val="00732E22"/>
    <w:rsid w:val="007545CF"/>
    <w:rsid w:val="007A3CD3"/>
    <w:rsid w:val="007B46A0"/>
    <w:rsid w:val="007C6DD7"/>
    <w:rsid w:val="007D08F4"/>
    <w:rsid w:val="007E036A"/>
    <w:rsid w:val="007E3E2A"/>
    <w:rsid w:val="00803ECD"/>
    <w:rsid w:val="008F6222"/>
    <w:rsid w:val="009003EB"/>
    <w:rsid w:val="00901B7C"/>
    <w:rsid w:val="00902E0C"/>
    <w:rsid w:val="00967E22"/>
    <w:rsid w:val="0097709C"/>
    <w:rsid w:val="009B0737"/>
    <w:rsid w:val="00A17761"/>
    <w:rsid w:val="00A21250"/>
    <w:rsid w:val="00A21A48"/>
    <w:rsid w:val="00A421B3"/>
    <w:rsid w:val="00A44012"/>
    <w:rsid w:val="00A66669"/>
    <w:rsid w:val="00A839D5"/>
    <w:rsid w:val="00AB333B"/>
    <w:rsid w:val="00AE446D"/>
    <w:rsid w:val="00B02428"/>
    <w:rsid w:val="00B04692"/>
    <w:rsid w:val="00B17B75"/>
    <w:rsid w:val="00B429E1"/>
    <w:rsid w:val="00B9398F"/>
    <w:rsid w:val="00BF0A14"/>
    <w:rsid w:val="00C10FDB"/>
    <w:rsid w:val="00C709FF"/>
    <w:rsid w:val="00C754DB"/>
    <w:rsid w:val="00C803A6"/>
    <w:rsid w:val="00CA6855"/>
    <w:rsid w:val="00D156EE"/>
    <w:rsid w:val="00D215B3"/>
    <w:rsid w:val="00D82B97"/>
    <w:rsid w:val="00DA52D6"/>
    <w:rsid w:val="00DB2D6A"/>
    <w:rsid w:val="00DC178F"/>
    <w:rsid w:val="00DC4DF0"/>
    <w:rsid w:val="00DC766B"/>
    <w:rsid w:val="00DD274C"/>
    <w:rsid w:val="00E63C05"/>
    <w:rsid w:val="00E8750E"/>
    <w:rsid w:val="00EA7B62"/>
    <w:rsid w:val="00ED6C15"/>
    <w:rsid w:val="00F051E9"/>
    <w:rsid w:val="00F11D5A"/>
    <w:rsid w:val="00F31093"/>
    <w:rsid w:val="00F45B1F"/>
    <w:rsid w:val="00F46356"/>
    <w:rsid w:val="00F95DCE"/>
    <w:rsid w:val="00FC0757"/>
    <w:rsid w:val="00FC1828"/>
    <w:rsid w:val="00FF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13</cp:revision>
  <dcterms:created xsi:type="dcterms:W3CDTF">2021-05-12T15:41:00Z</dcterms:created>
  <dcterms:modified xsi:type="dcterms:W3CDTF">2021-05-18T15:52:00Z</dcterms:modified>
</cp:coreProperties>
</file>