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A1253F">
        <w:tc>
          <w:tcPr>
            <w:tcW w:w="1271" w:type="dxa"/>
            <w:shd w:val="clear" w:color="auto" w:fill="A8D08D" w:themeFill="accent6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35AC8CED" w:rsidR="00063DFD" w:rsidRPr="003550C8" w:rsidRDefault="0043048E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protect workers from excessive exposure to hand-arm vibration at work. Prolonged exposure to hand-arm vibration can cause a range of symptoms, known as hand-arm vibration syndrome (HAVS).</w:t>
            </w:r>
            <w:r w:rsidR="00507EE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A1253F">
        <w:tc>
          <w:tcPr>
            <w:tcW w:w="1271" w:type="dxa"/>
            <w:shd w:val="clear" w:color="auto" w:fill="A8D08D" w:themeFill="accent6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59EDD14C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43048E">
              <w:rPr>
                <w:rFonts w:ascii="Tahoma" w:hAnsi="Tahoma" w:cs="Tahoma"/>
                <w:sz w:val="20"/>
                <w:szCs w:val="20"/>
              </w:rPr>
              <w:t>the sources of hand-arm vibration in industry, and the steps that can be taken to reduce the risk.</w:t>
            </w:r>
          </w:p>
        </w:tc>
      </w:tr>
    </w:tbl>
    <w:p w14:paraId="1CC9D7FE" w14:textId="13833AF0" w:rsidR="00091E6B" w:rsidRDefault="00091E6B" w:rsidP="00892D23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43048E" w:rsidRPr="0043048E" w14:paraId="5A8E133F" w14:textId="77777777" w:rsidTr="00A1253F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32B98B5" w14:textId="7A395A8C" w:rsidR="0043048E" w:rsidRPr="0043048E" w:rsidRDefault="0043048E" w:rsidP="00892D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048E">
              <w:rPr>
                <w:rFonts w:ascii="Tahoma" w:hAnsi="Tahoma" w:cs="Tahoma"/>
                <w:sz w:val="20"/>
                <w:szCs w:val="20"/>
              </w:rPr>
              <w:t>Effects from Hand-Arm Vibration:</w:t>
            </w:r>
          </w:p>
        </w:tc>
      </w:tr>
    </w:tbl>
    <w:p w14:paraId="2C78BE77" w14:textId="74C3A236" w:rsidR="0043048E" w:rsidRDefault="0043048E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Prolonged exposure to hand-arm vibration can cause damage to blood vessels, nerves, tendons, ligaments, </w:t>
      </w:r>
      <w:r w:rsidR="007B698F">
        <w:rPr>
          <w:rFonts w:ascii="Tahoma" w:hAnsi="Tahoma" w:cs="Tahoma"/>
          <w:sz w:val="20"/>
          <w:szCs w:val="20"/>
        </w:rPr>
        <w:t>muscles,</w:t>
      </w:r>
      <w:r>
        <w:rPr>
          <w:rFonts w:ascii="Tahoma" w:hAnsi="Tahoma" w:cs="Tahoma"/>
          <w:sz w:val="20"/>
          <w:szCs w:val="20"/>
        </w:rPr>
        <w:t xml:space="preserve"> and bones.</w:t>
      </w:r>
    </w:p>
    <w:p w14:paraId="4585086D" w14:textId="4214993A" w:rsidR="0043048E" w:rsidRDefault="0043048E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Symptoms include tingling, pins and needles, loss of feeling in fingers, </w:t>
      </w:r>
      <w:r w:rsidR="007B698F">
        <w:rPr>
          <w:rFonts w:ascii="Tahoma" w:hAnsi="Tahoma" w:cs="Tahoma"/>
          <w:sz w:val="20"/>
          <w:szCs w:val="20"/>
        </w:rPr>
        <w:t>pain &amp; throbbing in the fingers, loss of manual dexterity, painful joints and in particular pain when hands warm up after getting cold.</w:t>
      </w:r>
    </w:p>
    <w:p w14:paraId="2B471486" w14:textId="03658478" w:rsidR="007B698F" w:rsidRDefault="007B698F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Carpel tunnel syndrome (CTS) is also caused by hand-arm vibration and causes severe nerve pains in the palm of the hands, which is often worse at night.</w:t>
      </w:r>
    </w:p>
    <w:p w14:paraId="68A53058" w14:textId="42812E6B" w:rsidR="007B698F" w:rsidRDefault="007B698F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The effects of hand-arm vibration are often irreversible, causing sufferers pain and loss of amenity for the rest of their lives.</w:t>
      </w:r>
    </w:p>
    <w:p w14:paraId="70DE9A81" w14:textId="1C31801D" w:rsidR="007B698F" w:rsidRDefault="007B698F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Victims are often unable to do up buttons, tie shoelaces or undertake many simple everyday tasks.</w:t>
      </w:r>
    </w:p>
    <w:p w14:paraId="201C19A1" w14:textId="4EEF8374" w:rsidR="007B698F" w:rsidRDefault="007B698F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The symptoms may start as tingling in the hands but will develop and worsen with continued exposure to vibration.</w:t>
      </w:r>
    </w:p>
    <w:p w14:paraId="5592D8C0" w14:textId="56A292FC" w:rsidR="00340C3E" w:rsidRDefault="00340C3E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35EDA7FC" wp14:editId="3E6A225A">
            <wp:extent cx="4664075" cy="153289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7B698F" w14:paraId="5963C4F9" w14:textId="77777777" w:rsidTr="00A1253F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AB8AA23" w14:textId="6FE3C843" w:rsidR="007B698F" w:rsidRDefault="007B698F" w:rsidP="00892D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Sources of Hand-Arm Vibration:</w:t>
            </w:r>
          </w:p>
        </w:tc>
      </w:tr>
    </w:tbl>
    <w:p w14:paraId="5CE11A3D" w14:textId="18873B28" w:rsidR="007B698F" w:rsidRDefault="007B698F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 w:rsidR="001D35F1">
        <w:rPr>
          <w:rFonts w:ascii="Tahoma" w:hAnsi="Tahoma" w:cs="Tahoma"/>
          <w:sz w:val="20"/>
          <w:szCs w:val="20"/>
        </w:rPr>
        <w:t>Hand-Arm vibration is generated by both rotating and percussive hand-held tools. Some tools (such as hammer drills) are both rotary and percussive.</w:t>
      </w:r>
    </w:p>
    <w:p w14:paraId="16F52D5F" w14:textId="014C7CBA" w:rsidR="001D35F1" w:rsidRDefault="001D35F1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Construction tools that generate significant levels of vibration include:</w:t>
      </w:r>
    </w:p>
    <w:p w14:paraId="2E75E1DE" w14:textId="3A4288C4" w:rsidR="001D35F1" w:rsidRDefault="001D35F1" w:rsidP="001D35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~Road &amp; concrete breakers.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~Abrasive Wheels.</w:t>
      </w:r>
    </w:p>
    <w:p w14:paraId="60C17631" w14:textId="62D44E37" w:rsidR="001D35F1" w:rsidRDefault="001D35F1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~Cut off saw or disc cutters.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~Power drills &amp; chisels.</w:t>
      </w:r>
    </w:p>
    <w:p w14:paraId="05C97205" w14:textId="77777777" w:rsidR="00A065FE" w:rsidRDefault="00A065FE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DD37CBA" w14:textId="11D37C6E" w:rsidR="001D35F1" w:rsidRDefault="001D35F1" w:rsidP="001D35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~Plate vibrators and scabblers.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~Concrete poker vibrators.</w:t>
      </w:r>
    </w:p>
    <w:p w14:paraId="28DD1E53" w14:textId="79594C11" w:rsidR="001D35F1" w:rsidRDefault="001D35F1" w:rsidP="001D35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~Hammer drills.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~Chainsaws.</w:t>
      </w:r>
    </w:p>
    <w:p w14:paraId="70E24EC3" w14:textId="71C82CA5" w:rsidR="001D35F1" w:rsidRDefault="001D35F1" w:rsidP="001D35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~Needle Guns.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~Angle Grinders.</w:t>
      </w:r>
    </w:p>
    <w:p w14:paraId="2C8B2DF7" w14:textId="22EEA536" w:rsidR="001D35F1" w:rsidRDefault="001D35F1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~Riveters.</w:t>
      </w:r>
    </w:p>
    <w:p w14:paraId="3844CE73" w14:textId="77777777" w:rsidR="00810F3D" w:rsidRDefault="00810F3D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9B2AAD0" w14:textId="5DA2C1DC" w:rsidR="001D35F1" w:rsidRDefault="001D35F1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4A85F424" wp14:editId="478741C6">
            <wp:extent cx="933450" cy="933450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1DE6C6A9" wp14:editId="62F57800">
            <wp:extent cx="1816100" cy="892844"/>
            <wp:effectExtent l="0" t="0" r="0" b="254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383" cy="90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221DD9B0" wp14:editId="22958883">
            <wp:extent cx="1492881" cy="933127"/>
            <wp:effectExtent l="0" t="0" r="0" b="63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20" cy="94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3FE92" w14:textId="7BFC33C0" w:rsidR="001D35F1" w:rsidRDefault="001D35F1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A6131D" w14:paraId="322AA5E4" w14:textId="77777777" w:rsidTr="00A1253F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FDD26EA" w14:textId="6E677A23" w:rsidR="00A6131D" w:rsidRDefault="00A6131D" w:rsidP="00892D2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 to Avoid Excessive Vibration Exposure:</w:t>
            </w:r>
          </w:p>
        </w:tc>
      </w:tr>
    </w:tbl>
    <w:p w14:paraId="155A58F2" w14:textId="4AF51A60" w:rsidR="001D35F1" w:rsidRDefault="00A6131D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Employers should try to avoid the use of hand-held tools that generate vibration (</w:t>
      </w:r>
      <w:proofErr w:type="gramStart"/>
      <w:r>
        <w:rPr>
          <w:rFonts w:ascii="Tahoma" w:hAnsi="Tahoma" w:cs="Tahoma"/>
          <w:sz w:val="20"/>
          <w:szCs w:val="20"/>
        </w:rPr>
        <w:t>e.g.</w:t>
      </w:r>
      <w:proofErr w:type="gramEnd"/>
      <w:r>
        <w:rPr>
          <w:rFonts w:ascii="Tahoma" w:hAnsi="Tahoma" w:cs="Tahoma"/>
          <w:sz w:val="20"/>
          <w:szCs w:val="20"/>
        </w:rPr>
        <w:t xml:space="preserve"> by using an excavator-mounted breaker rather than hand-held breakers).</w:t>
      </w:r>
    </w:p>
    <w:p w14:paraId="3801AB0B" w14:textId="5FC68268" w:rsidR="00A6131D" w:rsidRDefault="00A6131D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If it is not possible to avoid using hand-held tools, then low-vibration or vibration-reduced tools should be selected.</w:t>
      </w:r>
    </w:p>
    <w:p w14:paraId="5D85C844" w14:textId="44A31444" w:rsidR="00A6131D" w:rsidRDefault="00A6131D" w:rsidP="00892D23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When using vibrating tools, it is important to take regular breaks. If working in a cold environment, warm your hands up and exercise your fingers during breaks.</w:t>
      </w:r>
    </w:p>
    <w:p w14:paraId="3F4D4ED8" w14:textId="3EE4F893" w:rsidR="00A6131D" w:rsidRPr="00A1253F" w:rsidRDefault="00A6131D" w:rsidP="00A6131D">
      <w:pPr>
        <w:spacing w:after="0"/>
        <w:jc w:val="center"/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</w:pPr>
      <w:r w:rsidRPr="00A1253F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Take regular breaks!</w:t>
      </w:r>
    </w:p>
    <w:p w14:paraId="712101A1" w14:textId="3BD02B3A" w:rsidR="00A6131D" w:rsidRDefault="00A6131D" w:rsidP="00A6131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use a good technique when using hand-held tools – do not apply excessive force, let the tool do the work.</w:t>
      </w:r>
    </w:p>
    <w:p w14:paraId="3C171BF9" w14:textId="087C6AF4" w:rsidR="00A6131D" w:rsidRDefault="00A6131D" w:rsidP="00A6131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keep hands warm and dry, such as by wearing gloves. However, do not rely on anti-vibration gloves as they have </w:t>
      </w:r>
      <w:proofErr w:type="gramStart"/>
      <w:r>
        <w:rPr>
          <w:rFonts w:ascii="Tahoma" w:hAnsi="Tahoma" w:cs="Tahoma"/>
          <w:sz w:val="20"/>
          <w:szCs w:val="20"/>
        </w:rPr>
        <w:t>very little</w:t>
      </w:r>
      <w:proofErr w:type="gramEnd"/>
      <w:r>
        <w:rPr>
          <w:rFonts w:ascii="Tahoma" w:hAnsi="Tahoma" w:cs="Tahoma"/>
          <w:sz w:val="20"/>
          <w:szCs w:val="20"/>
        </w:rPr>
        <w:t xml:space="preserve"> effect on vibration.</w:t>
      </w:r>
    </w:p>
    <w:p w14:paraId="281FBFAD" w14:textId="6E888849" w:rsidR="00A6131D" w:rsidRDefault="00A6131D" w:rsidP="00A6131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if you experience any symptoms (such as pins &amp; needles) tell management.</w:t>
      </w:r>
    </w:p>
    <w:p w14:paraId="06E14159" w14:textId="501DF555" w:rsidR="00A6131D" w:rsidRDefault="00A6131D" w:rsidP="00A6131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you have been given trigger time limits for using vibrating tools, do not exceed them.</w:t>
      </w:r>
    </w:p>
    <w:p w14:paraId="28598DE7" w14:textId="5ACEE9E3" w:rsidR="00340C3E" w:rsidRPr="00A6131D" w:rsidRDefault="00340C3E" w:rsidP="00A6131D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51BBA00" w14:textId="2A1B9236" w:rsidR="007B698F" w:rsidRPr="00A1253F" w:rsidRDefault="00340C3E" w:rsidP="00892D23">
      <w:pPr>
        <w:spacing w:after="0"/>
        <w:jc w:val="both"/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</w:pPr>
      <w:r w:rsidRPr="00A1253F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Discussion Points:</w:t>
      </w:r>
    </w:p>
    <w:p w14:paraId="7EC4E8DF" w14:textId="6326A93F" w:rsidR="00340C3E" w:rsidRPr="00A1253F" w:rsidRDefault="00340C3E" w:rsidP="00892D23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</w:p>
    <w:p w14:paraId="5D37C800" w14:textId="286B842D" w:rsidR="00340C3E" w:rsidRPr="00A1253F" w:rsidRDefault="00810F3D" w:rsidP="00892D23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A1253F">
        <w:rPr>
          <w:rFonts w:ascii="Tahoma" w:hAnsi="Tahoma" w:cs="Tahoma"/>
          <w:color w:val="538135" w:themeColor="accent6" w:themeShade="BF"/>
          <w:sz w:val="20"/>
          <w:szCs w:val="20"/>
        </w:rPr>
        <w:t>What vibrating hand-held tools have you used on sites you have worked on?</w:t>
      </w:r>
    </w:p>
    <w:p w14:paraId="3FBA8212" w14:textId="0139CEFE" w:rsidR="00810F3D" w:rsidRPr="00A1253F" w:rsidRDefault="00810F3D" w:rsidP="00892D23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A1253F">
        <w:rPr>
          <w:rFonts w:ascii="Tahoma" w:hAnsi="Tahoma" w:cs="Tahoma"/>
          <w:color w:val="538135" w:themeColor="accent6" w:themeShade="BF"/>
          <w:sz w:val="20"/>
          <w:szCs w:val="20"/>
        </w:rPr>
        <w:t>What should you do during breaks to reduce your risk of HAVS?</w:t>
      </w:r>
    </w:p>
    <w:p w14:paraId="60557073" w14:textId="272CAF42" w:rsidR="00810F3D" w:rsidRPr="00A1253F" w:rsidRDefault="00810F3D" w:rsidP="00892D23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A1253F">
        <w:rPr>
          <w:rFonts w:ascii="Tahoma" w:hAnsi="Tahoma" w:cs="Tahoma"/>
          <w:color w:val="538135" w:themeColor="accent6" w:themeShade="BF"/>
          <w:sz w:val="20"/>
          <w:szCs w:val="20"/>
        </w:rPr>
        <w:t>How can your exposure to hand-arm vibration be reduced?</w:t>
      </w:r>
    </w:p>
    <w:p w14:paraId="784C425A" w14:textId="04DD9E27" w:rsidR="00810F3D" w:rsidRPr="00A1253F" w:rsidRDefault="00810F3D" w:rsidP="00892D23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A1253F">
        <w:rPr>
          <w:rFonts w:ascii="Tahoma" w:hAnsi="Tahoma" w:cs="Tahoma"/>
          <w:color w:val="538135" w:themeColor="accent6" w:themeShade="BF"/>
          <w:sz w:val="20"/>
          <w:szCs w:val="20"/>
        </w:rPr>
        <w:t>What must you do if you think you are experiencing early symptoms of HAVS?</w:t>
      </w:r>
    </w:p>
    <w:sectPr w:rsidR="00810F3D" w:rsidRPr="00A1253F" w:rsidSect="00063DFD">
      <w:headerReference w:type="default" r:id="rId11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9B41" w14:textId="77777777" w:rsidR="00AA6196" w:rsidRDefault="00AA6196" w:rsidP="00063DFD">
      <w:pPr>
        <w:spacing w:after="0" w:line="240" w:lineRule="auto"/>
      </w:pPr>
      <w:r>
        <w:separator/>
      </w:r>
    </w:p>
  </w:endnote>
  <w:endnote w:type="continuationSeparator" w:id="0">
    <w:p w14:paraId="38B29316" w14:textId="77777777" w:rsidR="00AA6196" w:rsidRDefault="00AA6196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376D" w14:textId="77777777" w:rsidR="00AA6196" w:rsidRDefault="00AA6196" w:rsidP="00063DFD">
      <w:pPr>
        <w:spacing w:after="0" w:line="240" w:lineRule="auto"/>
      </w:pPr>
      <w:r>
        <w:separator/>
      </w:r>
    </w:p>
  </w:footnote>
  <w:footnote w:type="continuationSeparator" w:id="0">
    <w:p w14:paraId="5D1F5577" w14:textId="77777777" w:rsidR="00AA6196" w:rsidRDefault="00AA6196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1D5349C2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2D23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HAND-ARM VIBRATION (HAVS)</w:t>
    </w:r>
    <w:r w:rsidR="00892D23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892D23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744D4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B010HAVS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807C7"/>
    <w:rsid w:val="00091E6B"/>
    <w:rsid w:val="000C09C0"/>
    <w:rsid w:val="0011486C"/>
    <w:rsid w:val="00165602"/>
    <w:rsid w:val="00174140"/>
    <w:rsid w:val="001A416D"/>
    <w:rsid w:val="001B3F0A"/>
    <w:rsid w:val="001D35F1"/>
    <w:rsid w:val="00221D23"/>
    <w:rsid w:val="00246E7C"/>
    <w:rsid w:val="00283665"/>
    <w:rsid w:val="002D765C"/>
    <w:rsid w:val="003022D8"/>
    <w:rsid w:val="003036D2"/>
    <w:rsid w:val="003231E5"/>
    <w:rsid w:val="00340C3E"/>
    <w:rsid w:val="003446E0"/>
    <w:rsid w:val="003550C8"/>
    <w:rsid w:val="003B232F"/>
    <w:rsid w:val="003C120B"/>
    <w:rsid w:val="003C6AAD"/>
    <w:rsid w:val="00404C79"/>
    <w:rsid w:val="0043048E"/>
    <w:rsid w:val="0044107F"/>
    <w:rsid w:val="00497D68"/>
    <w:rsid w:val="004A1D7A"/>
    <w:rsid w:val="004D26B0"/>
    <w:rsid w:val="005049F1"/>
    <w:rsid w:val="00507EE7"/>
    <w:rsid w:val="0055514D"/>
    <w:rsid w:val="00560400"/>
    <w:rsid w:val="006C1C1F"/>
    <w:rsid w:val="006D4DE2"/>
    <w:rsid w:val="00703DD2"/>
    <w:rsid w:val="0071099E"/>
    <w:rsid w:val="00732E22"/>
    <w:rsid w:val="00744D4D"/>
    <w:rsid w:val="007545CF"/>
    <w:rsid w:val="007A3CD3"/>
    <w:rsid w:val="007B46A0"/>
    <w:rsid w:val="007B698F"/>
    <w:rsid w:val="007C6DD7"/>
    <w:rsid w:val="007D08F4"/>
    <w:rsid w:val="007E3E2A"/>
    <w:rsid w:val="00810F3D"/>
    <w:rsid w:val="00892D23"/>
    <w:rsid w:val="008F6222"/>
    <w:rsid w:val="009003EB"/>
    <w:rsid w:val="00902E0C"/>
    <w:rsid w:val="0097709C"/>
    <w:rsid w:val="009B0737"/>
    <w:rsid w:val="00A065FE"/>
    <w:rsid w:val="00A1253F"/>
    <w:rsid w:val="00A21250"/>
    <w:rsid w:val="00A21A48"/>
    <w:rsid w:val="00A44012"/>
    <w:rsid w:val="00A6131D"/>
    <w:rsid w:val="00A66669"/>
    <w:rsid w:val="00A839D5"/>
    <w:rsid w:val="00AA6196"/>
    <w:rsid w:val="00AB333B"/>
    <w:rsid w:val="00B02428"/>
    <w:rsid w:val="00B04692"/>
    <w:rsid w:val="00B9398F"/>
    <w:rsid w:val="00C709FF"/>
    <w:rsid w:val="00C754DB"/>
    <w:rsid w:val="00C803A6"/>
    <w:rsid w:val="00CA6855"/>
    <w:rsid w:val="00D156EE"/>
    <w:rsid w:val="00D215B3"/>
    <w:rsid w:val="00D82B97"/>
    <w:rsid w:val="00DA52D6"/>
    <w:rsid w:val="00DB2D6A"/>
    <w:rsid w:val="00DC178F"/>
    <w:rsid w:val="00DC766B"/>
    <w:rsid w:val="00DD274C"/>
    <w:rsid w:val="00E44A75"/>
    <w:rsid w:val="00E63C05"/>
    <w:rsid w:val="00E8750E"/>
    <w:rsid w:val="00ED6C15"/>
    <w:rsid w:val="00F051E9"/>
    <w:rsid w:val="00F45B1F"/>
    <w:rsid w:val="00F46356"/>
    <w:rsid w:val="00F95DCE"/>
    <w:rsid w:val="00FC1828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Jane Brown</cp:lastModifiedBy>
  <cp:revision>10</cp:revision>
  <dcterms:created xsi:type="dcterms:W3CDTF">2021-05-11T15:08:00Z</dcterms:created>
  <dcterms:modified xsi:type="dcterms:W3CDTF">2021-06-08T11:44:00Z</dcterms:modified>
</cp:coreProperties>
</file>